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60"/>
        <w:jc w:val="center"/>
      </w:pPr>
      <w:r>
        <w:rPr>
          <w:rFonts w:ascii="Yu Gothic" w:cs="Yu Gothic" w:eastAsia="Yu Gothic" w:hAnsi="Yu Gothic"/>
          <w:b/>
          <w:bCs/>
          <w:sz w:val="32"/>
          <w:szCs w:val="32"/>
        </w:rPr>
        <w:t xml:space="preserve">柔軟性評価シート</w:t>
      </w:r>
    </w:p>
    <w:p>
      <w:pPr>
        <w:spacing w:before="0" w:after="80"/>
        <w:jc w:val="center"/>
      </w:pPr>
      <w:r>
        <w:rPr>
          <w:rFonts w:ascii="Yu Gothic" w:cs="Yu Gothic" w:eastAsia="Yu Gothic" w:hAnsi="Yu Gothic"/>
          <w:i/>
          <w:iCs/>
          <w:color w:val="555555"/>
          <w:sz w:val="18"/>
          <w:szCs w:val="18"/>
        </w:rPr>
        <w:t xml:space="preserve">心理的柔軟性プロセスの主要な反応次元を評定するために使用します。</w:t>
      </w:r>
    </w:p>
    <w:p>
      <w:pPr>
        <w:spacing w:before="0" w:after="200"/>
        <w:jc w:val="left"/>
      </w:pPr>
      <w:r>
        <w:rPr>
          <w:rFonts w:ascii="Yu Gothic" w:cs="Yu Gothic" w:eastAsia="Yu Gothic" w:hAnsi="Yu Gothic"/>
          <w:b/>
          <w:bCs/>
          <w:sz w:val="18"/>
          <w:szCs w:val="18"/>
        </w:rPr>
        <w:t xml:space="preserve">評定方法：</w:t>
      </w:r>
      <w:r>
        <w:rPr>
          <w:rFonts w:ascii="Yu Gothic" w:cs="Yu Gothic" w:eastAsia="Yu Gothic" w:hAnsi="Yu Gothic"/>
          <w:color w:val="333333"/>
          <w:sz w:val="18"/>
          <w:szCs w:val="18"/>
        </w:rPr>
        <w:t xml:space="preserve">各項目を0〜10点で評定します。0＝ほとんど見られない、5＝時々見られる・促せば生じる、10＝必要に応じて柔軟に・流暢に発揮される。各エリア内の行を平均することで、プロセスごとの総合評定が得られます。</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5460"/>
        <w:gridCol w:w="600"/>
        <w:gridCol w:w="600"/>
        <w:gridCol w:w="600"/>
      </w:tblGrid>
      <w:tr>
        <w:trPr>
          <w:tblHeader/>
        </w:trPr>
        <w:tc>
          <w:tcPr>
            <w:tcW w:type="dxa" w:w="1100"/>
            <w:tcBorders>
              <w:top w:val="single" w:color="AAAAAA" w:sz="4"/>
              <w:left w:val="single" w:color="AAAAAA" w:sz="4"/>
              <w:bottom w:val="single" w:color="AAAAAA" w:sz="4"/>
              <w:right w:val="single" w:color="AAAAAA" w:sz="4"/>
            </w:tcBorders>
            <w:shd w:fill="2E4057" w:val="clear"/>
            <w:tcMar>
              <w:top w:type="dxa" w:w="80"/>
              <w:left w:type="dxa" w:w="120"/>
              <w:bottom w:type="dxa" w:w="80"/>
              <w:right w:type="dxa" w:w="120"/>
            </w:tcMar>
            <w:vAlign w:val="center"/>
          </w:tcPr>
          <w:p>
            <w:pPr>
              <w:jc w:val="center"/>
            </w:pPr>
            <w:r>
              <w:rPr>
                <w:rFonts w:ascii="Yu Gothic" w:cs="Yu Gothic" w:eastAsia="Yu Gothic" w:hAnsi="Yu Gothic"/>
                <w:b/>
                <w:bCs/>
                <w:color w:val="FFFFFF"/>
                <w:sz w:val="16"/>
                <w:szCs w:val="16"/>
              </w:rPr>
              <w:t xml:space="preserve">プロセス</w:t>
            </w:r>
          </w:p>
        </w:tc>
        <w:tc>
          <w:tcPr>
            <w:tcW w:type="dxa" w:w="5460"/>
            <w:tcBorders>
              <w:top w:val="single" w:color="AAAAAA" w:sz="4"/>
              <w:left w:val="single" w:color="AAAAAA" w:sz="4"/>
              <w:bottom w:val="single" w:color="AAAAAA" w:sz="4"/>
              <w:right w:val="single" w:color="AAAAAA" w:sz="4"/>
            </w:tcBorders>
            <w:shd w:fill="2E4057" w:val="clear"/>
            <w:tcMar>
              <w:top w:type="dxa" w:w="80"/>
              <w:left w:type="dxa" w:w="120"/>
              <w:bottom w:type="dxa" w:w="80"/>
              <w:right w:type="dxa" w:w="120"/>
            </w:tcMar>
            <w:vAlign w:val="center"/>
          </w:tcPr>
          <w:p>
            <w:pPr>
              <w:jc w:val="left"/>
            </w:pPr>
            <w:r>
              <w:rPr>
                <w:rFonts w:ascii="Yu Gothic" w:cs="Yu Gothic" w:eastAsia="Yu Gothic" w:hAnsi="Yu Gothic"/>
                <w:b/>
                <w:bCs/>
                <w:color w:val="FFFFFF"/>
                <w:sz w:val="16"/>
                <w:szCs w:val="16"/>
              </w:rPr>
              <w:t xml:space="preserve">クライアントの行動における主要な特徴</w:t>
            </w:r>
          </w:p>
        </w:tc>
        <w:tc>
          <w:tcPr>
            <w:tcW w:type="dxa" w:w="600"/>
            <w:tcBorders>
              <w:top w:val="single" w:color="AAAAAA" w:sz="4"/>
              <w:left w:val="single" w:color="AAAAAA" w:sz="4"/>
              <w:bottom w:val="single" w:color="AAAAAA" w:sz="4"/>
              <w:right w:val="single" w:color="AAAAAA" w:sz="4"/>
            </w:tcBorders>
            <w:shd w:fill="2E4057" w:val="clear"/>
            <w:tcMar>
              <w:top w:type="dxa" w:w="80"/>
              <w:left w:type="dxa" w:w="120"/>
              <w:bottom w:type="dxa" w:w="80"/>
              <w:right w:type="dxa" w:w="120"/>
            </w:tcMar>
            <w:vAlign w:val="center"/>
          </w:tcPr>
          <w:p>
            <w:pPr>
              <w:jc w:val="center"/>
            </w:pPr>
            <w:r>
              <w:rPr>
                <w:rFonts w:ascii="Yu Gothic" w:cs="Yu Gothic" w:eastAsia="Yu Gothic" w:hAnsi="Yu Gothic"/>
                <w:b/>
                <w:bCs/>
                <w:color w:val="FFFFFF"/>
                <w:sz w:val="16"/>
                <w:szCs w:val="16"/>
              </w:rPr>
              <w:t xml:space="preserve">0
ほぼなし</w:t>
            </w:r>
          </w:p>
        </w:tc>
        <w:tc>
          <w:tcPr>
            <w:tcW w:type="dxa" w:w="600"/>
            <w:tcBorders>
              <w:top w:val="single" w:color="AAAAAA" w:sz="4"/>
              <w:left w:val="single" w:color="AAAAAA" w:sz="4"/>
              <w:bottom w:val="single" w:color="AAAAAA" w:sz="4"/>
              <w:right w:val="single" w:color="AAAAAA" w:sz="4"/>
            </w:tcBorders>
            <w:shd w:fill="2E4057" w:val="clear"/>
            <w:tcMar>
              <w:top w:type="dxa" w:w="80"/>
              <w:left w:type="dxa" w:w="120"/>
              <w:bottom w:type="dxa" w:w="80"/>
              <w:right w:type="dxa" w:w="120"/>
            </w:tcMar>
            <w:vAlign w:val="center"/>
          </w:tcPr>
          <w:p>
            <w:pPr>
              <w:jc w:val="center"/>
            </w:pPr>
            <w:r>
              <w:rPr>
                <w:rFonts w:ascii="Yu Gothic" w:cs="Yu Gothic" w:eastAsia="Yu Gothic" w:hAnsi="Yu Gothic"/>
                <w:b/>
                <w:bCs/>
                <w:color w:val="FFFFFF"/>
                <w:sz w:val="16"/>
                <w:szCs w:val="16"/>
              </w:rPr>
              <w:t xml:space="preserve">5
時々・促せば</w:t>
            </w:r>
          </w:p>
        </w:tc>
        <w:tc>
          <w:tcPr>
            <w:tcW w:type="dxa" w:w="600"/>
            <w:tcBorders>
              <w:top w:val="single" w:color="AAAAAA" w:sz="4"/>
              <w:left w:val="single" w:color="AAAAAA" w:sz="4"/>
              <w:bottom w:val="single" w:color="AAAAAA" w:sz="4"/>
              <w:right w:val="single" w:color="AAAAAA" w:sz="4"/>
            </w:tcBorders>
            <w:shd w:fill="2E4057" w:val="clear"/>
            <w:tcMar>
              <w:top w:type="dxa" w:w="80"/>
              <w:left w:type="dxa" w:w="120"/>
              <w:bottom w:type="dxa" w:w="80"/>
              <w:right w:type="dxa" w:w="120"/>
            </w:tcMar>
            <w:vAlign w:val="center"/>
          </w:tcPr>
          <w:p>
            <w:pPr>
              <w:jc w:val="center"/>
            </w:pPr>
            <w:r>
              <w:rPr>
                <w:rFonts w:ascii="Yu Gothic" w:cs="Yu Gothic" w:eastAsia="Yu Gothic" w:hAnsi="Yu Gothic"/>
                <w:b/>
                <w:bCs/>
                <w:color w:val="FFFFFF"/>
                <w:sz w:val="16"/>
                <w:szCs w:val="16"/>
              </w:rPr>
              <w:t xml:space="preserve">10
柔軟に発揮</w:t>
            </w:r>
          </w:p>
        </w:tc>
      </w:tr>
      <w:tr>
        <w:tc>
          <w:tcPr>
            <w:tcW w:type="dxa" w:w="1100"/>
            <w:tcBorders>
              <w:top w:val="single" w:color="AAAAAA" w:sz="4"/>
              <w:left w:val="single" w:color="AAAAAA" w:sz="4"/>
              <w:bottom w:val="single" w:color="AAAAAA" w:sz="4"/>
              <w:right w:val="single" w:color="AAAAAA" w:sz="4"/>
            </w:tcBorders>
            <w:shd w:fill="2E6DA4" w:val="clear"/>
            <w:tcMar>
              <w:top w:type="dxa" w:w="80"/>
              <w:left w:type="dxa" w:w="100"/>
              <w:bottom w:type="dxa" w:w="80"/>
              <w:right w:type="dxa" w:w="80"/>
            </w:tcMar>
            <w:vAlign w:val="center"/>
          </w:tcPr>
          <w:p>
            <w:pPr>
              <w:jc w:val="center"/>
            </w:pPr>
            <w:r>
              <w:rPr>
                <w:rFonts w:ascii="Yu Gothic" w:cs="Yu Gothic" w:eastAsia="Yu Gothic" w:hAnsi="Yu Gothic"/>
                <w:b/>
                <w:bCs/>
                <w:color w:val="FFFFFF"/>
                <w:sz w:val="18"/>
                <w:szCs w:val="18"/>
              </w:rPr>
              <w:t xml:space="preserve">今この瞬間</w:t>
            </w:r>
          </w:p>
        </w:tc>
        <w:tc>
          <w:tcPr>
            <w:tcW w:type="dxa" w:w="7260"/>
            <w:gridSpan w:val="4"/>
            <w:tcBorders>
              <w:top w:val="single" w:color="AAAAAA" w:sz="4"/>
              <w:left w:val="single" w:color="AAAAAA" w:sz="4"/>
              <w:bottom w:val="single" w:color="AAAAAA" w:sz="4"/>
              <w:right w:val="single" w:color="AAAAAA" w:sz="4"/>
            </w:tcBorders>
            <w:shd w:fill="2E6DA4" w:val="clear"/>
            <w:tcMar>
              <w:top w:type="dxa" w:w="80"/>
              <w:left w:type="dxa" w:w="140"/>
              <w:bottom w:type="dxa" w:w="80"/>
              <w:right w:type="dxa" w:w="80"/>
            </w:tcMar>
          </w:tcPr>
          <w:p>
            <w:r>
              <w:rPr>
                <w:rFonts w:ascii="Yu Gothic" w:cs="Yu Gothic" w:eastAsia="Yu Gothic" w:hAnsi="Yu Gothic"/>
                <w:b/>
                <w:bCs/>
                <w:color w:val="FFFFFF"/>
                <w:sz w:val="18"/>
                <w:szCs w:val="18"/>
              </w:rPr>
              <w:t xml:space="preserve">クライアントの行動における主要な特徴</w:t>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今この瞬間の内的・外的出来事に気づき、それを活用する</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柔軟な注意力——必要に応じて持続したり切り替えたりできる</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過去や未来から離れており、心配・不安な予測・反芻にとらわれていない</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1B7A4C" w:val="clear"/>
            <w:tcMar>
              <w:top w:type="dxa" w:w="80"/>
              <w:left w:type="dxa" w:w="100"/>
              <w:bottom w:type="dxa" w:w="80"/>
              <w:right w:type="dxa" w:w="80"/>
            </w:tcMar>
            <w:vAlign w:val="center"/>
          </w:tcPr>
          <w:p>
            <w:pPr>
              <w:jc w:val="center"/>
            </w:pPr>
            <w:r>
              <w:rPr>
                <w:rFonts w:ascii="Yu Gothic" w:cs="Yu Gothic" w:eastAsia="Yu Gothic" w:hAnsi="Yu Gothic"/>
                <w:b/>
                <w:bCs/>
                <w:color w:val="FFFFFF"/>
                <w:sz w:val="18"/>
                <w:szCs w:val="18"/>
              </w:rPr>
              <w:t xml:space="preserve">自己</w:t>
            </w:r>
          </w:p>
        </w:tc>
        <w:tc>
          <w:tcPr>
            <w:tcW w:type="dxa" w:w="7260"/>
            <w:gridSpan w:val="4"/>
            <w:tcBorders>
              <w:top w:val="single" w:color="AAAAAA" w:sz="4"/>
              <w:left w:val="single" w:color="AAAAAA" w:sz="4"/>
              <w:bottom w:val="single" w:color="AAAAAA" w:sz="4"/>
              <w:right w:val="single" w:color="AAAAAA" w:sz="4"/>
            </w:tcBorders>
            <w:shd w:fill="1B7A4C" w:val="clear"/>
            <w:tcMar>
              <w:top w:type="dxa" w:w="80"/>
              <w:left w:type="dxa" w:w="140"/>
              <w:bottom w:type="dxa" w:w="80"/>
              <w:right w:type="dxa" w:w="80"/>
            </w:tcMar>
          </w:tcPr>
          <w:p>
            <w:r>
              <w:rPr>
                <w:rFonts w:ascii="Yu Gothic" w:cs="Yu Gothic" w:eastAsia="Yu Gothic" w:hAnsi="Yu Gothic"/>
                <w:b/>
                <w:bCs/>
                <w:color w:val="FFFFFF"/>
                <w:sz w:val="18"/>
                <w:szCs w:val="18"/>
              </w:rPr>
              <w:t xml:space="preserve">クライアントの行動における主要な特徴</w:t>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超越的な自己感覚（観察者としての自己）と接触している</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他者や別の時間・場所の視点をとることができる</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概念としての自己から脱フュージョンしている</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パースペクティブ・テイキングを効果的な行動のために活用する</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真の共感とコンパッションを示す</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8B4513" w:val="clear"/>
            <w:tcMar>
              <w:top w:type="dxa" w:w="80"/>
              <w:left w:type="dxa" w:w="100"/>
              <w:bottom w:type="dxa" w:w="80"/>
              <w:right w:type="dxa" w:w="80"/>
            </w:tcMar>
            <w:vAlign w:val="center"/>
          </w:tcPr>
          <w:p>
            <w:pPr>
              <w:jc w:val="center"/>
            </w:pPr>
            <w:r>
              <w:rPr>
                <w:rFonts w:ascii="Yu Gothic" w:cs="Yu Gothic" w:eastAsia="Yu Gothic" w:hAnsi="Yu Gothic"/>
                <w:b/>
                <w:bCs/>
                <w:color w:val="FFFFFF"/>
                <w:sz w:val="18"/>
                <w:szCs w:val="18"/>
              </w:rPr>
              <w:t xml:space="preserve">アクセプタンス</w:t>
            </w:r>
          </w:p>
        </w:tc>
        <w:tc>
          <w:tcPr>
            <w:tcW w:type="dxa" w:w="7260"/>
            <w:gridSpan w:val="4"/>
            <w:tcBorders>
              <w:top w:val="single" w:color="AAAAAA" w:sz="4"/>
              <w:left w:val="single" w:color="AAAAAA" w:sz="4"/>
              <w:bottom w:val="single" w:color="AAAAAA" w:sz="4"/>
              <w:right w:val="single" w:color="AAAAAA" w:sz="4"/>
            </w:tcBorders>
            <w:shd w:fill="8B4513" w:val="clear"/>
            <w:tcMar>
              <w:top w:type="dxa" w:w="80"/>
              <w:left w:type="dxa" w:w="140"/>
              <w:bottom w:type="dxa" w:w="80"/>
              <w:right w:type="dxa" w:w="80"/>
            </w:tcMar>
          </w:tcPr>
          <w:p>
            <w:r>
              <w:rPr>
                <w:rFonts w:ascii="Yu Gothic" w:cs="Yu Gothic" w:eastAsia="Yu Gothic" w:hAnsi="Yu Gothic"/>
                <w:b/>
                <w:bCs/>
                <w:color w:val="FFFFFF"/>
                <w:sz w:val="18"/>
                <w:szCs w:val="18"/>
              </w:rPr>
              <w:t xml:space="preserve">クライアントの行動における主要な特徴</w:t>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苦痛な体験に対してオープンで好奇心のある姿勢をとる</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喜びの感情にしがみついたり、過度に失うことを恐れたりせずに楽しめる</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困難な思考・感情・記憶・身体感覚があっても積極的かつ柔軟に行動できる</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6B3FA0" w:val="clear"/>
            <w:tcMar>
              <w:top w:type="dxa" w:w="80"/>
              <w:left w:type="dxa" w:w="100"/>
              <w:bottom w:type="dxa" w:w="80"/>
              <w:right w:type="dxa" w:w="80"/>
            </w:tcMar>
            <w:vAlign w:val="center"/>
          </w:tcPr>
          <w:p>
            <w:pPr>
              <w:jc w:val="center"/>
            </w:pPr>
            <w:r>
              <w:rPr>
                <w:rFonts w:ascii="Yu Gothic" w:cs="Yu Gothic" w:eastAsia="Yu Gothic" w:hAnsi="Yu Gothic"/>
                <w:b/>
                <w:bCs/>
                <w:color w:val="FFFFFF"/>
                <w:sz w:val="18"/>
                <w:szCs w:val="18"/>
              </w:rPr>
              <w:t xml:space="preserve">脱フュージョン</w:t>
            </w:r>
          </w:p>
        </w:tc>
        <w:tc>
          <w:tcPr>
            <w:tcW w:type="dxa" w:w="7260"/>
            <w:gridSpan w:val="4"/>
            <w:tcBorders>
              <w:top w:val="single" w:color="AAAAAA" w:sz="4"/>
              <w:left w:val="single" w:color="AAAAAA" w:sz="4"/>
              <w:bottom w:val="single" w:color="AAAAAA" w:sz="4"/>
              <w:right w:val="single" w:color="AAAAAA" w:sz="4"/>
            </w:tcBorders>
            <w:shd w:fill="6B3FA0" w:val="clear"/>
            <w:tcMar>
              <w:top w:type="dxa" w:w="80"/>
              <w:left w:type="dxa" w:w="140"/>
              <w:bottom w:type="dxa" w:w="80"/>
              <w:right w:type="dxa" w:w="80"/>
            </w:tcMar>
          </w:tcPr>
          <w:p>
            <w:r>
              <w:rPr>
                <w:rFonts w:ascii="Yu Gothic" w:cs="Yu Gothic" w:eastAsia="Yu Gothic" w:hAnsi="Yu Gothic"/>
                <w:b/>
                <w:bCs/>
                <w:color w:val="FFFFFF"/>
                <w:sz w:val="18"/>
                <w:szCs w:val="18"/>
              </w:rPr>
              <w:t xml:space="preserve">クライアントの行動における主要な特徴</w:t>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「正しくあること」や「よく見られること」へのこだわりを手放せる</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効果的な行動のために物語や理由付けから離れることができる</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思考を文字通りの「真実」ではなく、主に機能性（ワーカビリティ）で評価する</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思考を単なる世界の構造としてではなく、進行中のプロセスとして気づく</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思考がオープンで、柔軟であるように見える</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B8500A" w:val="clear"/>
            <w:tcMar>
              <w:top w:type="dxa" w:w="80"/>
              <w:left w:type="dxa" w:w="100"/>
              <w:bottom w:type="dxa" w:w="80"/>
              <w:right w:type="dxa" w:w="80"/>
            </w:tcMar>
            <w:vAlign w:val="center"/>
          </w:tcPr>
          <w:p>
            <w:pPr>
              <w:jc w:val="center"/>
            </w:pPr>
            <w:r>
              <w:rPr>
                <w:rFonts w:ascii="Yu Gothic" w:cs="Yu Gothic" w:eastAsia="Yu Gothic" w:hAnsi="Yu Gothic"/>
                <w:b/>
                <w:bCs/>
                <w:color w:val="FFFFFF"/>
                <w:sz w:val="18"/>
                <w:szCs w:val="18"/>
              </w:rPr>
              <w:t xml:space="preserve">価値</w:t>
            </w:r>
          </w:p>
        </w:tc>
        <w:tc>
          <w:tcPr>
            <w:tcW w:type="dxa" w:w="7260"/>
            <w:gridSpan w:val="4"/>
            <w:tcBorders>
              <w:top w:val="single" w:color="AAAAAA" w:sz="4"/>
              <w:left w:val="single" w:color="AAAAAA" w:sz="4"/>
              <w:bottom w:val="single" w:color="AAAAAA" w:sz="4"/>
              <w:right w:val="single" w:color="AAAAAA" w:sz="4"/>
            </w:tcBorders>
            <w:shd w:fill="B8500A" w:val="clear"/>
            <w:tcMar>
              <w:top w:type="dxa" w:w="80"/>
              <w:left w:type="dxa" w:w="140"/>
              <w:bottom w:type="dxa" w:w="80"/>
              <w:right w:type="dxa" w:w="80"/>
            </w:tcMar>
          </w:tcPr>
          <w:p>
            <w:r>
              <w:rPr>
                <w:rFonts w:ascii="Yu Gothic" w:cs="Yu Gothic" w:eastAsia="Yu Gothic" w:hAnsi="Yu Gothic"/>
                <w:b/>
                <w:bCs/>
                <w:color w:val="FFFFFF"/>
                <w:sz w:val="18"/>
                <w:szCs w:val="18"/>
              </w:rPr>
              <w:t xml:space="preserve">クライアントの行動における主要な特徴</w:t>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深く重要なことを、ルールにせずに特定できる</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価値を明確かつ個人的に表現できる</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価値が日常生活の行動を導いている</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価値をゴール・感情・社会的要求と区別できる</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1A5276" w:val="clear"/>
            <w:tcMar>
              <w:top w:type="dxa" w:w="80"/>
              <w:left w:type="dxa" w:w="100"/>
              <w:bottom w:type="dxa" w:w="80"/>
              <w:right w:type="dxa" w:w="80"/>
            </w:tcMar>
            <w:vAlign w:val="center"/>
          </w:tcPr>
          <w:p>
            <w:pPr>
              <w:jc w:val="center"/>
            </w:pPr>
            <w:r>
              <w:rPr>
                <w:rFonts w:ascii="Yu Gothic" w:cs="Yu Gothic" w:eastAsia="Yu Gothic" w:hAnsi="Yu Gothic"/>
                <w:b/>
                <w:bCs/>
                <w:color w:val="FFFFFF"/>
                <w:sz w:val="18"/>
                <w:szCs w:val="18"/>
              </w:rPr>
              <w:t xml:space="preserve">コミットされた行動</w:t>
            </w:r>
          </w:p>
        </w:tc>
        <w:tc>
          <w:tcPr>
            <w:tcW w:type="dxa" w:w="7260"/>
            <w:gridSpan w:val="4"/>
            <w:tcBorders>
              <w:top w:val="single" w:color="AAAAAA" w:sz="4"/>
              <w:left w:val="single" w:color="AAAAAA" w:sz="4"/>
              <w:bottom w:val="single" w:color="AAAAAA" w:sz="4"/>
              <w:right w:val="single" w:color="AAAAAA" w:sz="4"/>
            </w:tcBorders>
            <w:shd w:fill="1A5276" w:val="clear"/>
            <w:tcMar>
              <w:top w:type="dxa" w:w="80"/>
              <w:left w:type="dxa" w:w="140"/>
              <w:bottom w:type="dxa" w:w="80"/>
              <w:right w:type="dxa" w:w="80"/>
            </w:tcMar>
          </w:tcPr>
          <w:p>
            <w:r>
              <w:rPr>
                <w:rFonts w:ascii="Yu Gothic" w:cs="Yu Gothic" w:eastAsia="Yu Gothic" w:hAnsi="Yu Gothic"/>
                <w:b/>
                <w:bCs/>
                <w:color w:val="FFFFFF"/>
                <w:sz w:val="18"/>
                <w:szCs w:val="18"/>
              </w:rPr>
              <w:t xml:space="preserve">クライアントの行動における主要な特徴</w:t>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価値に結びついた目標を設定し、追求する</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困難であっても効果的な行動を持続する</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行動がうまくいっていないときに柔軟にアプローチを調整する</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r>
        <w:tc>
          <w:tcPr>
            <w:tcW w:type="dxa" w:w="1100"/>
            <w:tcBorders>
              <w:top w:val="single" w:color="AAAAAA" w:sz="4"/>
              <w:left w:val="single" w:color="AAAAAA" w:sz="4"/>
              <w:bottom w:val="single" w:color="AAAAAA" w:sz="4"/>
              <w:right w:val="single" w:color="AAAAAA" w:sz="4"/>
            </w:tcBorders>
            <w:shd w:fill="FFFFFF" w:val="clear"/>
            <w:tcMar>
              <w:top w:type="dxa" w:w="60"/>
              <w:left w:type="dxa" w:w="100"/>
              <w:bottom w:type="dxa" w:w="60"/>
              <w:right w:type="dxa" w:w="80"/>
            </w:tcMar>
            <w:vAlign w:val="center"/>
          </w:tcPr>
          <w:p/>
        </w:tc>
        <w:tc>
          <w:tcPr>
            <w:tcW w:type="dxa" w:w="5460"/>
            <w:tcBorders>
              <w:top w:val="single" w:color="AAAAAA" w:sz="4"/>
              <w:left w:val="single" w:color="AAAAAA" w:sz="4"/>
              <w:bottom w:val="single" w:color="AAAAAA" w:sz="4"/>
              <w:right w:val="single" w:color="AAAAAA" w:sz="4"/>
            </w:tcBorders>
            <w:tcMar>
              <w:top w:type="dxa" w:w="60"/>
              <w:left w:type="dxa" w:w="140"/>
              <w:bottom w:type="dxa" w:w="60"/>
              <w:right w:type="dxa" w:w="80"/>
            </w:tcMar>
            <w:vAlign w:val="center"/>
          </w:tcPr>
          <w:p>
            <w:r>
              <w:rPr>
                <w:rFonts w:ascii="Yu Gothic" w:cs="Yu Gothic" w:eastAsia="Yu Gothic" w:hAnsi="Yu Gothic"/>
                <w:sz w:val="18"/>
                <w:szCs w:val="18"/>
              </w:rPr>
              <w:t xml:space="preserve">時間をかけてより大きな効果的行動パターンを構築していく</w:t>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c>
          <w:tcPr>
            <w:tcW w:type="dxa" w:w="600"/>
            <w:tcBorders>
              <w:top w:val="single" w:color="AAAAAA" w:sz="4"/>
              <w:left w:val="single" w:color="AAAAAA" w:sz="4"/>
              <w:bottom w:val="single" w:color="AAAAAA" w:sz="4"/>
              <w:right w:val="single" w:color="AAAAAA" w:sz="4"/>
            </w:tcBorders>
            <w:shd w:fill="FFFFFF" w:val="clear"/>
            <w:tcMar>
              <w:top w:type="dxa" w:w="60"/>
              <w:left w:type="dxa" w:w="60"/>
              <w:bottom w:type="dxa" w:w="60"/>
              <w:right w:type="dxa" w:w="60"/>
            </w:tcMar>
            <w:vAlign w:val="center"/>
          </w:tcPr>
          <w:p>
            <w:pPr>
              <w:jc w:val="center"/>
            </w:pPr>
            <w:r>
              <w:rPr>
                <w:rFonts w:ascii="Yu Gothic" w:cs="Yu Gothic" w:eastAsia="Yu Gothic" w:hAnsi="Yu Gothic"/>
                <w:sz w:val="18"/>
                <w:szCs w:val="18"/>
              </w:rPr>
              <w:t xml:space="preserve"/>
            </w:r>
          </w:p>
        </w:tc>
      </w:tr>
    </w:tbl>
    <w:p>
      <w:pPr>
        <w:spacing w:before="200" w:after="60"/>
      </w:pPr>
      <w:r>
        <w:rPr>
          <w:rFonts w:ascii="Yu Gothic" w:cs="Yu Gothic" w:eastAsia="Yu Gothic" w:hAnsi="Yu Gothic"/>
          <w:sz w:val="18"/>
          <w:szCs w:val="18"/>
        </w:rPr>
        <w:t xml:space="preserve">クライアント名：___________________________________　　</w:t>
      </w:r>
      <w:r>
        <w:rPr>
          <w:rFonts w:ascii="Yu Gothic" w:cs="Yu Gothic" w:eastAsia="Yu Gothic" w:hAnsi="Yu Gothic"/>
          <w:sz w:val="18"/>
          <w:szCs w:val="18"/>
        </w:rPr>
        <w:t xml:space="preserve">日付：_____________________　　</w:t>
      </w:r>
      <w:r>
        <w:rPr>
          <w:rFonts w:ascii="Yu Gothic" w:cs="Yu Gothic" w:eastAsia="Yu Gothic" w:hAnsi="Yu Gothic"/>
          <w:sz w:val="18"/>
          <w:szCs w:val="18"/>
        </w:rPr>
        <w:t xml:space="preserve">臨床家：___________________________________</w:t>
      </w:r>
    </w:p>
    <w:p>
      <w:pPr>
        <w:spacing w:before="60" w:after="0"/>
      </w:pPr>
      <w:r>
        <w:rPr>
          <w:rFonts w:ascii="Yu Gothic" w:cs="Yu Gothic" w:eastAsia="Yu Gothic" w:hAnsi="Yu Gothic"/>
          <w:sz w:val="18"/>
          <w:szCs w:val="18"/>
        </w:rPr>
        <w:t xml:space="preserve">セッション番号：_______　　</w:t>
      </w:r>
      <w:r>
        <w:rPr>
          <w:rFonts w:ascii="Yu Gothic" w:cs="Yu Gothic" w:eastAsia="Yu Gothic" w:hAnsi="Yu Gothic"/>
          <w:sz w:val="18"/>
          <w:szCs w:val="18"/>
        </w:rPr>
        <w:t xml:space="preserve">メモ：________________________________________________________________________________</w:t>
      </w:r>
    </w:p>
    <w:sectPr>
      <w:pgSz w:w="12240" w:h="15840" w:orient="portrait"/>
      <w:pgMar w:top="864" w:right="864" w:bottom="864"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2026-03-27T06:24:35.822Z</dcterms:created>
  <dcterms:modified xsi:type="dcterms:W3CDTF">2026-03-27T06:24:35.823Z</dcterms:modified>
</cp:coreProperties>
</file>

<file path=docProps/custom.xml><?xml version="1.0" encoding="utf-8"?>
<Properties xmlns="http://schemas.openxmlformats.org/officeDocument/2006/custom-properties" xmlns:vt="http://schemas.openxmlformats.org/officeDocument/2006/docPropsVTypes"/>
</file>