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pPr>
      <w:r>
        <w:rPr>
          <w:sz w:val="22"/>
          <w:szCs w:val="22"/>
        </w:rPr>
        <w:t xml:space="preserve"/>
      </w:r>
    </w:p>
    <w:p>
      <w:pPr>
        <w:spacing w:after="0" w:before="0"/>
      </w:pPr>
      <w:r>
        <w:rPr>
          <w:sz w:val="22"/>
          <w:szCs w:val="22"/>
        </w:rPr>
        <w:t xml:space="preserve"/>
      </w:r>
    </w:p>
    <w:p>
      <w:pPr>
        <w:spacing w:after="0" w:before="0"/>
      </w:pPr>
      <w:r>
        <w:rPr>
          <w:sz w:val="22"/>
          <w:szCs w:val="22"/>
        </w:rPr>
        <w:t xml:space="preserve"/>
      </w:r>
    </w:p>
    <w:p>
      <w:pPr>
        <w:spacing w:after="240" w:before="0"/>
        <w:jc w:val="center"/>
      </w:pPr>
      <w:r>
        <w:rPr>
          <w:rFonts w:ascii="Arial" w:cs="Arial" w:eastAsia="Arial" w:hAnsi="Arial"/>
          <w:b/>
          <w:bCs/>
          <w:color w:val="1A1A2E"/>
          <w:sz w:val="48"/>
          <w:szCs w:val="48"/>
        </w:rPr>
        <w:t xml:space="preserve">誤差修正知性論による精神療法</w:t>
      </w:r>
    </w:p>
    <w:p>
      <w:pPr>
        <w:spacing w:after="120" w:before="0"/>
        <w:jc w:val="center"/>
      </w:pPr>
      <w:r>
        <w:rPr>
          <w:rFonts w:ascii="Arial" w:cs="Arial" w:eastAsia="Arial" w:hAnsi="Arial"/>
          <w:i/>
          <w:iCs/>
          <w:color w:val="444444"/>
          <w:sz w:val="28"/>
          <w:szCs w:val="28"/>
        </w:rPr>
        <w:t xml:space="preserve">Error-Correction Intelligence Theory of Psychotherapy</w:t>
      </w:r>
    </w:p>
    <w:p>
      <w:pPr>
        <w:spacing w:after="80" w:before="0"/>
        <w:jc w:val="center"/>
      </w:pPr>
      <w:r>
        <w:rPr>
          <w:rFonts w:ascii="Arial" w:cs="Arial" w:eastAsia="Arial" w:hAnsi="Arial"/>
          <w:color w:val="666666"/>
          <w:sz w:val="24"/>
          <w:szCs w:val="24"/>
        </w:rPr>
        <w:t xml:space="preserve">統合理論・技法体系・特定病態への応用</w:t>
      </w:r>
    </w:p>
    <w:p>
      <w:pPr>
        <w:pBdr>
          <w:bottom w:val="single" w:color="CCCCCC" w:sz="4" w:space="1"/>
        </w:pBdr>
        <w:spacing w:after="120" w:before="120"/>
      </w:pPr>
      <w:r>
        <w:rPr>
          <w:sz w:val="4"/>
          <w:szCs w:val="4"/>
        </w:rPr>
        <w:t xml:space="preserve"/>
      </w:r>
    </w:p>
    <w:p>
      <w:pPr>
        <w:spacing w:after="0" w:before="0"/>
      </w:pPr>
      <w:r>
        <w:rPr>
          <w:sz w:val="22"/>
          <w:szCs w:val="22"/>
        </w:rPr>
        <w:t xml:space="preserve"/>
      </w:r>
    </w:p>
    <w:p>
      <w:pPr>
        <w:spacing w:after="0" w:before="0"/>
      </w:pPr>
      <w:r>
        <w:rPr>
          <w:sz w:val="22"/>
          <w:szCs w:val="22"/>
        </w:rPr>
        <w:t xml:space="preserve"/>
      </w:r>
    </w:p>
    <w:p>
      <w:pPr>
        <w:spacing w:after="600" w:before="0"/>
        <w:jc w:val="center"/>
      </w:pPr>
      <w:r>
        <w:rPr>
          <w:rFonts w:ascii="Arial" w:cs="Arial" w:eastAsia="Arial" w:hAnsi="Arial"/>
          <w:color w:val="888888"/>
          <w:sz w:val="22"/>
          <w:szCs w:val="22"/>
        </w:rPr>
        <w:t xml:space="preserve">2025年</w:t>
      </w:r>
    </w:p>
    <w:p>
      <w:pPr>
        <w:pStyle w:val="Heading1"/>
        <w:spacing w:after="120" w:before="360"/>
      </w:pPr>
      <w:r>
        <w:rPr>
          <w:rFonts w:ascii="Arial" w:cs="Arial" w:eastAsia="Arial" w:hAnsi="Arial"/>
          <w:b/>
          <w:bCs/>
          <w:sz w:val="32"/>
          <w:szCs w:val="32"/>
        </w:rPr>
        <w:t xml:space="preserve">要旨</w:t>
      </w:r>
    </w:p>
    <w:p>
      <w:pPr>
        <w:spacing w:after="120" w:before="60" w:line="360"/>
      </w:pPr>
      <w:r>
        <w:rPr>
          <w:rFonts w:ascii="Arial" w:cs="Arial" w:eastAsia="Arial" w:hAnsi="Arial"/>
          <w:sz w:val="22"/>
          <w:szCs w:val="22"/>
        </w:rPr>
        <w:t xml:space="preserve">本稿は「誤差修正知性論（Error-Correction Intelligence Theory: ECIT）」という精神療法の理論的枠組みを提示し、その技法体系、補助論、治療者メタレベル技法、およびPTSDへの適用を統合的に記述するものである。</w:t>
      </w:r>
    </w:p>
    <w:p>
      <w:pPr>
        <w:spacing w:after="120" w:before="60" w:line="360"/>
      </w:pPr>
      <w:r>
        <w:rPr>
          <w:rFonts w:ascii="Arial" w:cs="Arial" w:eastAsia="Arial" w:hAnsi="Arial"/>
          <w:sz w:val="22"/>
          <w:szCs w:val="22"/>
        </w:rPr>
        <w:t xml:space="preserve">ECITの中核命題は以下の通りである。人間の精神は世界モデル（自己・他者・世界・因果に関する内部表象）を持ち、現実との乖離（誤差）を検知した際にモデルを更新しようとする。精神疾患とは、このモデル更新プロセスが何らかの理由で失敗・固着している状態として理解される。精神療法とは、安全環境という足場の上で、適切な時期に適切な誤差を提示し、患者がモデルを更新できるよう支援するプロセスである。</w:t>
      </w:r>
    </w:p>
    <w:p>
      <w:pPr>
        <w:spacing w:after="120" w:before="60" w:line="360"/>
      </w:pPr>
      <w:r>
        <w:rPr>
          <w:rFonts w:ascii="Arial" w:cs="Arial" w:eastAsia="Arial" w:hAnsi="Arial"/>
          <w:sz w:val="22"/>
          <w:szCs w:val="22"/>
        </w:rPr>
        <w:t xml:space="preserve">本理論は予測符号化（Predictive Coding）・能動的推論（Active Inference）との理論的親和性を持ち、認知行動療法・精神分析・EMDR等の既存技法を統一的枠組みで再解釈することを可能にする。</w:t>
      </w:r>
    </w:p>
    <w:p>
      <w:pPr>
        <w:spacing w:after="0" w:before="0"/>
      </w:pPr>
      <w:r>
        <w:rPr>
          <w:sz w:val="22"/>
          <w:szCs w:val="22"/>
        </w:rPr>
        <w:t xml:space="preserve"/>
      </w:r>
    </w:p>
    <w:p>
      <w:pPr>
        <w:pStyle w:val="Heading1"/>
        <w:spacing w:after="120" w:before="360"/>
      </w:pPr>
      <w:r>
        <w:rPr>
          <w:rFonts w:ascii="Arial" w:cs="Arial" w:eastAsia="Arial" w:hAnsi="Arial"/>
          <w:b/>
          <w:bCs/>
          <w:sz w:val="32"/>
          <w:szCs w:val="32"/>
        </w:rPr>
        <w:t xml:space="preserve">I. 理論的基盤</w:t>
      </w:r>
    </w:p>
    <w:p>
      <w:pPr>
        <w:pStyle w:val="Heading2"/>
        <w:spacing w:after="80" w:before="240"/>
      </w:pPr>
      <w:r>
        <w:rPr>
          <w:rFonts w:ascii="Arial" w:cs="Arial" w:eastAsia="Arial" w:hAnsi="Arial"/>
          <w:b/>
          <w:bCs/>
          <w:sz w:val="26"/>
          <w:szCs w:val="26"/>
        </w:rPr>
        <w:t xml:space="preserve">1.1 基本モデル</w:t>
      </w:r>
    </w:p>
    <w:p>
      <w:pPr>
        <w:spacing w:after="120" w:before="60" w:line="360"/>
      </w:pPr>
      <w:r>
        <w:rPr>
          <w:rFonts w:ascii="Arial" w:cs="Arial" w:eastAsia="Arial" w:hAnsi="Arial"/>
          <w:sz w:val="22"/>
          <w:szCs w:val="22"/>
        </w:rPr>
        <w:t xml:space="preserve">ECITは人間を「世界モデルを持ち、誤差を処理してモデルを更新し続ける存在」として捉える。通常の心理的健康とは、現実との誤差を適切に処理しモデルを柔軟に更新できる状態であり、精神疾患とはこのプロセスが失敗・固着した状態である。</w:t>
      </w:r>
    </w:p>
    <w:p>
      <w:pPr>
        <w:spacing w:after="120" w:before="60" w:line="360"/>
      </w:pPr>
      <w:r>
        <w:rPr>
          <w:rFonts w:ascii="Arial" w:cs="Arial" w:eastAsia="Arial" w:hAnsi="Arial"/>
          <w:sz w:val="22"/>
          <w:szCs w:val="22"/>
        </w:rPr>
        <w:t xml:space="preserve">モデル更新の失敗には複数のパターンがある。誤差が大きすぎて処理不能になる場合、誤差が処理されずに記憶として固着する場合（PTSDに典型的）、モデルへの脅威が大きすぎて防衛が働く場合、そして誤差を処理する「窓」が狭すぎる場合である。</w:t>
      </w:r>
    </w:p>
    <w:p>
      <w:pPr>
        <w:pStyle w:val="Heading2"/>
        <w:spacing w:after="80" w:before="240"/>
      </w:pPr>
      <w:r>
        <w:rPr>
          <w:rFonts w:ascii="Arial" w:cs="Arial" w:eastAsia="Arial" w:hAnsi="Arial"/>
          <w:b/>
          <w:bCs/>
          <w:sz w:val="26"/>
          <w:szCs w:val="26"/>
        </w:rPr>
        <w:t xml:space="preserve">1.2 既存理論との関係</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rPr>
          <w:tblHeader/>
        </w:trPr>
        <w:tc>
          <w:tcPr>
            <w:tcW w:type="dxa" w:w="45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既存技法</w:t>
            </w:r>
          </w:p>
        </w:tc>
        <w:tc>
          <w:tcPr>
            <w:tcW w:type="dxa" w:w="45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ECITによる再解釈</w:t>
            </w:r>
          </w:p>
        </w:tc>
      </w:tr>
      <w:tr>
        <w:tc>
          <w:tcPr>
            <w:tcW w:type="dxa" w:w="45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転移解釈</w:t>
            </w:r>
          </w:p>
        </w:tc>
        <w:tc>
          <w:tcPr>
            <w:tcW w:type="dxa" w:w="45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治療関係内での誤差の生成と気づき</w:t>
            </w:r>
          </w:p>
        </w:tc>
      </w:tr>
      <w:tr>
        <w:tc>
          <w:tcPr>
            <w:tcW w:type="dxa" w:w="45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暴露療法</w:t>
            </w:r>
          </w:p>
        </w:tc>
        <w:tc>
          <w:tcPr>
            <w:tcW w:type="dxa" w:w="45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現実との大きな誤差を制御された条件で与える</w:t>
            </w:r>
          </w:p>
        </w:tc>
      </w:tr>
      <w:tr>
        <w:tc>
          <w:tcPr>
            <w:tcW w:type="dxa" w:w="45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認知再構成</w:t>
            </w:r>
          </w:p>
        </w:tc>
        <w:tc>
          <w:tcPr>
            <w:tcW w:type="dxa" w:w="45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命題レベルでの誤差の意識化と修正</w:t>
            </w:r>
          </w:p>
        </w:tc>
      </w:tr>
      <w:tr>
        <w:tc>
          <w:tcPr>
            <w:tcW w:type="dxa" w:w="45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EMDR</w:t>
            </w:r>
          </w:p>
        </w:tc>
        <w:tc>
          <w:tcPr>
            <w:tcW w:type="dxa" w:w="45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固着した記憶ネットワークへの誤差入力</w:t>
            </w:r>
          </w:p>
        </w:tc>
      </w:tr>
      <w:tr>
        <w:tc>
          <w:tcPr>
            <w:tcW w:type="dxa" w:w="45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オープンダイアローグ</w:t>
            </w:r>
          </w:p>
        </w:tc>
        <w:tc>
          <w:tcPr>
            <w:tcW w:type="dxa" w:w="45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多声的な誤差提示による多角的更新</w:t>
            </w:r>
          </w:p>
        </w:tc>
      </w:tr>
      <w:tr>
        <w:tc>
          <w:tcPr>
            <w:tcW w:type="dxa" w:w="45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動機づけ面接</w:t>
            </w:r>
          </w:p>
        </w:tc>
        <w:tc>
          <w:tcPr>
            <w:tcW w:type="dxa" w:w="45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変化への両価性を誤差として扱う</w:t>
            </w:r>
          </w:p>
        </w:tc>
      </w:tr>
    </w:tbl>
    <w:p>
      <w:pPr>
        <w:spacing w:after="0" w:before="0"/>
      </w:pPr>
      <w:r>
        <w:rPr>
          <w:sz w:val="22"/>
          <w:szCs w:val="22"/>
        </w:rPr>
        <w:t xml:space="preserve"/>
      </w:r>
    </w:p>
    <w:p>
      <w:pPr>
        <w:pStyle w:val="Heading1"/>
        <w:spacing w:after="120" w:before="360"/>
      </w:pPr>
      <w:r>
        <w:rPr>
          <w:rFonts w:ascii="Arial" w:cs="Arial" w:eastAsia="Arial" w:hAnsi="Arial"/>
          <w:b/>
          <w:bCs/>
          <w:sz w:val="32"/>
          <w:szCs w:val="32"/>
        </w:rPr>
        <w:t xml:space="preserve">II. 誤差の技法体系</w:t>
      </w:r>
    </w:p>
    <w:p>
      <w:pPr>
        <w:pStyle w:val="Heading2"/>
        <w:spacing w:after="80" w:before="240"/>
      </w:pPr>
      <w:r>
        <w:rPr>
          <w:rFonts w:ascii="Arial" w:cs="Arial" w:eastAsia="Arial" w:hAnsi="Arial"/>
          <w:b/>
          <w:bCs/>
          <w:sz w:val="26"/>
          <w:szCs w:val="26"/>
        </w:rPr>
        <w:t xml:space="preserve">2.1 誤差の4軸モデル</w:t>
      </w:r>
    </w:p>
    <w:p>
      <w:pPr>
        <w:spacing w:after="120" w:before="60" w:line="360"/>
      </w:pPr>
      <w:r>
        <w:rPr>
          <w:rFonts w:ascii="Arial" w:cs="Arial" w:eastAsia="Arial" w:hAnsi="Arial"/>
          <w:sz w:val="22"/>
          <w:szCs w:val="22"/>
        </w:rPr>
        <w:t xml:space="preserve">提示する誤差は以下の4軸で設計される。</w:t>
      </w:r>
    </w:p>
    <w:tbl>
      <w:tblPr>
        <w:tblW w:type="dxa" w:w="8200"/>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2000"/>
        <w:gridCol w:w="2200"/>
      </w:tblGrid>
      <w:tr>
        <w:trPr>
          <w:tblHeader/>
        </w:trPr>
        <w:tc>
          <w:tcPr>
            <w:tcW w:type="dxa" w:w="20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軸</w:t>
            </w:r>
          </w:p>
        </w:tc>
        <w:tc>
          <w:tcPr>
            <w:tcW w:type="dxa" w:w="20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低端</w:t>
            </w:r>
          </w:p>
        </w:tc>
        <w:tc>
          <w:tcPr>
            <w:tcW w:type="dxa" w:w="20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高端</w:t>
            </w:r>
          </w:p>
        </w:tc>
        <w:tc>
          <w:tcPr>
            <w:tcW w:type="dxa" w:w="22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臨床的意味</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大きさ</w:t>
            </w:r>
          </w:p>
        </w:tc>
        <w:tc>
          <w:tcPr>
            <w:tcW w:type="dxa" w:w="2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微細な視点追加</w:t>
            </w:r>
          </w:p>
        </w:tc>
        <w:tc>
          <w:tcPr>
            <w:tcW w:type="dxa" w:w="2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核心的前提の否定</w:t>
            </w:r>
          </w:p>
        </w:tc>
        <w:tc>
          <w:tcPr>
            <w:tcW w:type="dxa" w:w="22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大きいほど防衛が強まる</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距離</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今ここ（面接室内）</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コアスキーマ・遠過去</w:t>
            </w:r>
          </w:p>
        </w:tc>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近いほど検証可能性が高い</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様式</w:t>
            </w:r>
          </w:p>
        </w:tc>
        <w:tc>
          <w:tcPr>
            <w:tcW w:type="dxa" w:w="2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言語的（解釈）</w:t>
            </w:r>
          </w:p>
        </w:tc>
        <w:tc>
          <w:tcPr>
            <w:tcW w:type="dxa" w:w="2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体験的（身体・ロールプレイ）</w:t>
            </w:r>
          </w:p>
        </w:tc>
        <w:tc>
          <w:tcPr>
            <w:tcW w:type="dxa" w:w="22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体験的ほど処理効率が高い</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方向</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加算的（新視点追加）</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否定的（既存信念の否定）</w:t>
            </w:r>
          </w:p>
        </w:tc>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加算的ほど防衛が低い</w:t>
            </w:r>
          </w:p>
        </w:tc>
      </w:tr>
    </w:tbl>
    <w:p>
      <w:pPr>
        <w:spacing w:after="0" w:before="0"/>
      </w:pPr>
      <w:r>
        <w:rPr>
          <w:sz w:val="22"/>
          <w:szCs w:val="22"/>
        </w:rPr>
        <w:t xml:space="preserve"/>
      </w:r>
    </w:p>
    <w:p>
      <w:pPr>
        <w:spacing w:after="120" w:before="60" w:line="360"/>
      </w:pPr>
      <w:r>
        <w:rPr>
          <w:rFonts w:ascii="Arial" w:cs="Arial" w:eastAsia="Arial" w:hAnsi="Arial"/>
          <w:sz w:val="22"/>
          <w:szCs w:val="22"/>
        </w:rPr>
        <w:t xml:space="preserve">原則として、最初の誤差提示は「小・近・言語・加算」の組み合わせから始め、患者のモデル更新能力と治療関係の深さに応じて段階的に調整する。</w:t>
      </w:r>
    </w:p>
    <w:p>
      <w:pPr>
        <w:pStyle w:val="Heading2"/>
        <w:spacing w:after="80" w:before="240"/>
      </w:pPr>
      <w:r>
        <w:rPr>
          <w:rFonts w:ascii="Arial" w:cs="Arial" w:eastAsia="Arial" w:hAnsi="Arial"/>
          <w:b/>
          <w:bCs/>
          <w:sz w:val="26"/>
          <w:szCs w:val="26"/>
        </w:rPr>
        <w:t xml:space="preserve">2.2 タイミング判断</w:t>
      </w:r>
    </w:p>
    <w:p>
      <w:pPr>
        <w:spacing w:after="120" w:before="60" w:line="360"/>
      </w:pPr>
      <w:r>
        <w:rPr>
          <w:rFonts w:ascii="Arial" w:cs="Arial" w:eastAsia="Arial" w:hAnsi="Arial"/>
          <w:sz w:val="22"/>
          <w:szCs w:val="22"/>
        </w:rPr>
        <w:t xml:space="preserve">誤差提示のタイミングは情動調整の窓（Window of Tolerance）の観察に基づく。窓の内部にある状態（適度な情動、思考の柔軟性、治療者との眼差しの交換）でのみ誤差提示が有効である。</w:t>
      </w:r>
    </w:p>
    <w:p>
      <w:pPr>
        <w:spacing w:after="120" w:before="60" w:line="360"/>
      </w:pPr>
      <w:r>
        <w:rPr>
          <w:rFonts w:ascii="Arial" w:cs="Arial" w:eastAsia="Arial" w:hAnsi="Arial"/>
          <w:b/>
          <w:bCs/>
          <w:sz w:val="22"/>
          <w:szCs w:val="22"/>
        </w:rPr>
        <w:t xml:space="preserve">Green Signal（介入適正）: </w:t>
      </w:r>
      <w:r>
        <w:rPr>
          <w:rFonts w:ascii="Arial" w:cs="Arial" w:eastAsia="Arial" w:hAnsi="Arial"/>
          <w:sz w:val="22"/>
          <w:szCs w:val="22"/>
        </w:rPr>
        <w:t xml:space="preserve">自発的な問い直し、適度な情動の動き、内省的な沈黙、治療者への視線</w:t>
      </w:r>
    </w:p>
    <w:p>
      <w:pPr>
        <w:spacing w:after="120" w:before="60" w:line="360"/>
      </w:pPr>
      <w:r>
        <w:rPr>
          <w:rFonts w:ascii="Arial" w:cs="Arial" w:eastAsia="Arial" w:hAnsi="Arial"/>
          <w:b/>
          <w:bCs/>
          <w:sz w:val="22"/>
          <w:szCs w:val="22"/>
        </w:rPr>
        <w:t xml:space="preserve">Yellow Signal（介入待機）: </w:t>
      </w:r>
      <w:r>
        <w:rPr>
          <w:rFonts w:ascii="Arial" w:cs="Arial" w:eastAsia="Arial" w:hAnsi="Arial"/>
          <w:sz w:val="22"/>
          <w:szCs w:val="22"/>
        </w:rPr>
        <w:t xml:space="preserve">思考の硬直、笑いによる回避、治療者への距離、話題の急転換</w:t>
      </w:r>
    </w:p>
    <w:p>
      <w:pPr>
        <w:spacing w:after="120" w:before="60" w:line="360"/>
      </w:pPr>
      <w:r>
        <w:rPr>
          <w:rFonts w:ascii="Arial" w:cs="Arial" w:eastAsia="Arial" w:hAnsi="Arial"/>
          <w:b/>
          <w:bCs/>
          <w:sz w:val="22"/>
          <w:szCs w:val="22"/>
        </w:rPr>
        <w:t xml:space="preserve">Red Signal（介入中止）: </w:t>
      </w:r>
      <w:r>
        <w:rPr>
          <w:rFonts w:ascii="Arial" w:cs="Arial" w:eastAsia="Arial" w:hAnsi="Arial"/>
          <w:sz w:val="22"/>
          <w:szCs w:val="22"/>
        </w:rPr>
        <w:t xml:space="preserve">解離症状、急激な身体症状、強い防衛固着、退行</w:t>
      </w:r>
    </w:p>
    <w:p>
      <w:pPr>
        <w:pStyle w:val="Heading2"/>
        <w:spacing w:after="80" w:before="240"/>
      </w:pPr>
      <w:r>
        <w:rPr>
          <w:rFonts w:ascii="Arial" w:cs="Arial" w:eastAsia="Arial" w:hAnsi="Arial"/>
          <w:b/>
          <w:bCs/>
          <w:sz w:val="26"/>
          <w:szCs w:val="26"/>
        </w:rPr>
        <w:t xml:space="preserve">2.3 誤差提示の技法レパートリー</w:t>
      </w:r>
    </w:p>
    <w:p>
      <w:pPr>
        <w:pStyle w:val="Heading3"/>
        <w:spacing w:after="60" w:before="180"/>
      </w:pPr>
      <w:r>
        <w:rPr>
          <w:rFonts w:ascii="Arial" w:cs="Arial" w:eastAsia="Arial" w:hAnsi="Arial"/>
          <w:b/>
          <w:bCs/>
          <w:sz w:val="24"/>
          <w:szCs w:val="24"/>
        </w:rPr>
        <w:t xml:space="preserve">言語的技法</w:t>
      </w:r>
    </w:p>
    <w:tbl>
      <w:tblPr>
        <w:tblW w:type="dxa" w:w="8200"/>
        <w:tblBorders>
          <w:top w:val="single" w:color="auto" w:sz="4"/>
          <w:left w:val="single" w:color="auto" w:sz="4"/>
          <w:bottom w:val="single" w:color="auto" w:sz="4"/>
          <w:right w:val="single" w:color="auto" w:sz="4"/>
          <w:insideH w:val="single" w:color="auto" w:sz="4"/>
          <w:insideV w:val="single" w:color="auto" w:sz="4"/>
        </w:tblBorders>
      </w:tblPr>
      <w:tblGrid>
        <w:gridCol w:w="2300"/>
        <w:gridCol w:w="4700"/>
        <w:gridCol w:w="1200"/>
      </w:tblGrid>
      <w:tr>
        <w:trPr>
          <w:tblHeader/>
        </w:trPr>
        <w:tc>
          <w:tcPr>
            <w:tcW w:type="dxa" w:w="23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技法名</w:t>
            </w:r>
          </w:p>
        </w:tc>
        <w:tc>
          <w:tcPr>
            <w:tcW w:type="dxa" w:w="47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操作</w:t>
            </w:r>
          </w:p>
        </w:tc>
        <w:tc>
          <w:tcPr>
            <w:tcW w:type="dxa" w:w="12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脅威度</w:t>
            </w:r>
          </w:p>
        </w:tc>
      </w:tr>
      <w:tr>
        <w:tc>
          <w:tcPr>
            <w:tcW w:type="dxa" w:w="23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加算的問い返し</w:t>
            </w:r>
          </w:p>
        </w:tc>
        <w:tc>
          <w:tcPr>
            <w:tcW w:type="dxa" w:w="47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既存モデルを否定せず別の可能性を追加する</w:t>
            </w:r>
          </w:p>
        </w:tc>
        <w:tc>
          <w:tcPr>
            <w:tcW w:type="dxa" w:w="12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低</w:t>
            </w:r>
          </w:p>
        </w:tc>
      </w:tr>
      <w:tr>
        <w:tc>
          <w:tcPr>
            <w:tcW w:type="dxa" w:w="2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例外探索</w:t>
            </w:r>
          </w:p>
        </w:tc>
        <w:tc>
          <w:tcPr>
            <w:tcW w:type="dxa" w:w="47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モデルの反例を患者自身の経験から引き出す</w:t>
            </w:r>
          </w:p>
        </w:tc>
        <w:tc>
          <w:tcPr>
            <w:tcW w:type="dxa" w:w="1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低〜中</w:t>
            </w:r>
          </w:p>
        </w:tc>
      </w:tr>
      <w:tr>
        <w:tc>
          <w:tcPr>
            <w:tcW w:type="dxa" w:w="23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時制の操作</w:t>
            </w:r>
          </w:p>
        </w:tc>
        <w:tc>
          <w:tcPr>
            <w:tcW w:type="dxa" w:w="47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過去・現在・未来の時制を動かして固着を緩める</w:t>
            </w:r>
          </w:p>
        </w:tc>
        <w:tc>
          <w:tcPr>
            <w:tcW w:type="dxa" w:w="12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中</w:t>
            </w:r>
          </w:p>
        </w:tc>
      </w:tr>
      <w:tr>
        <w:tc>
          <w:tcPr>
            <w:tcW w:type="dxa" w:w="2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文脈化</w:t>
            </w:r>
          </w:p>
        </w:tc>
        <w:tc>
          <w:tcPr>
            <w:tcW w:type="dxa" w:w="47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行動・信念が当時の文脈では合理的だったと枠組む</w:t>
            </w:r>
          </w:p>
        </w:tc>
        <w:tc>
          <w:tcPr>
            <w:tcW w:type="dxa" w:w="1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中</w:t>
            </w:r>
          </w:p>
        </w:tc>
      </w:tr>
    </w:tbl>
    <w:p>
      <w:pPr>
        <w:spacing w:after="0" w:before="0"/>
      </w:pPr>
      <w:r>
        <w:rPr>
          <w:sz w:val="22"/>
          <w:szCs w:val="22"/>
        </w:rPr>
        <w:t xml:space="preserve"/>
      </w:r>
    </w:p>
    <w:p>
      <w:pPr>
        <w:pStyle w:val="Heading3"/>
        <w:spacing w:after="60" w:before="180"/>
      </w:pPr>
      <w:r>
        <w:rPr>
          <w:rFonts w:ascii="Arial" w:cs="Arial" w:eastAsia="Arial" w:hAnsi="Arial"/>
          <w:b/>
          <w:bCs/>
          <w:sz w:val="24"/>
          <w:szCs w:val="24"/>
        </w:rPr>
        <w:t xml:space="preserve">関係的技法</w:t>
      </w:r>
    </w:p>
    <w:tbl>
      <w:tblPr>
        <w:tblW w:type="dxa" w:w="8200"/>
        <w:tblBorders>
          <w:top w:val="single" w:color="auto" w:sz="4"/>
          <w:left w:val="single" w:color="auto" w:sz="4"/>
          <w:bottom w:val="single" w:color="auto" w:sz="4"/>
          <w:right w:val="single" w:color="auto" w:sz="4"/>
          <w:insideH w:val="single" w:color="auto" w:sz="4"/>
          <w:insideV w:val="single" w:color="auto" w:sz="4"/>
        </w:tblBorders>
      </w:tblPr>
      <w:tblGrid>
        <w:gridCol w:w="2300"/>
        <w:gridCol w:w="4700"/>
        <w:gridCol w:w="1200"/>
      </w:tblGrid>
      <w:tr>
        <w:trPr>
          <w:tblHeader/>
        </w:trPr>
        <w:tc>
          <w:tcPr>
            <w:tcW w:type="dxa" w:w="23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技法名</w:t>
            </w:r>
          </w:p>
        </w:tc>
        <w:tc>
          <w:tcPr>
            <w:tcW w:type="dxa" w:w="47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操作</w:t>
            </w:r>
          </w:p>
        </w:tc>
        <w:tc>
          <w:tcPr>
            <w:tcW w:type="dxa" w:w="12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脅威度</w:t>
            </w:r>
          </w:p>
        </w:tc>
      </w:tr>
      <w:tr>
        <w:tc>
          <w:tcPr>
            <w:tcW w:type="dxa" w:w="23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今ここの誤差提示</w:t>
            </w:r>
          </w:p>
        </w:tc>
        <w:tc>
          <w:tcPr>
            <w:tcW w:type="dxa" w:w="47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治療関係内で起きていることをリアルタイムに扱う</w:t>
            </w:r>
          </w:p>
        </w:tc>
        <w:tc>
          <w:tcPr>
            <w:tcW w:type="dxa" w:w="12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中</w:t>
            </w:r>
          </w:p>
        </w:tc>
      </w:tr>
      <w:tr>
        <w:tc>
          <w:tcPr>
            <w:tcW w:type="dxa" w:w="2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限定的自己開示</w:t>
            </w:r>
          </w:p>
        </w:tc>
        <w:tc>
          <w:tcPr>
            <w:tcW w:type="dxa" w:w="47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患者のモデルに対する治療者の異なる反応を示す</w:t>
            </w:r>
          </w:p>
        </w:tc>
        <w:tc>
          <w:tcPr>
            <w:tcW w:type="dxa" w:w="1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中</w:t>
            </w:r>
          </w:p>
        </w:tc>
      </w:tr>
      <w:tr>
        <w:tc>
          <w:tcPr>
            <w:tcW w:type="dxa" w:w="23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修復体験の活用</w:t>
            </w:r>
          </w:p>
        </w:tc>
        <w:tc>
          <w:tcPr>
            <w:tcW w:type="dxa" w:w="47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治療関係内のずれと修復を意図的に誤差として使う</w:t>
            </w:r>
          </w:p>
        </w:tc>
        <w:tc>
          <w:tcPr>
            <w:tcW w:type="dxa" w:w="12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中〜高</w:t>
            </w:r>
          </w:p>
        </w:tc>
      </w:tr>
    </w:tbl>
    <w:p>
      <w:pPr>
        <w:spacing w:after="0" w:before="0"/>
      </w:pPr>
      <w:r>
        <w:rPr>
          <w:sz w:val="22"/>
          <w:szCs w:val="22"/>
        </w:rPr>
        <w:t xml:space="preserve"/>
      </w:r>
    </w:p>
    <w:p>
      <w:pPr>
        <w:pStyle w:val="Heading3"/>
        <w:spacing w:after="60" w:before="180"/>
      </w:pPr>
      <w:r>
        <w:rPr>
          <w:rFonts w:ascii="Arial" w:cs="Arial" w:eastAsia="Arial" w:hAnsi="Arial"/>
          <w:b/>
          <w:bCs/>
          <w:sz w:val="24"/>
          <w:szCs w:val="24"/>
        </w:rPr>
        <w:t xml:space="preserve">体験的技法</w:t>
      </w:r>
    </w:p>
    <w:tbl>
      <w:tblPr>
        <w:tblW w:type="dxa" w:w="8200"/>
        <w:tblBorders>
          <w:top w:val="single" w:color="auto" w:sz="4"/>
          <w:left w:val="single" w:color="auto" w:sz="4"/>
          <w:bottom w:val="single" w:color="auto" w:sz="4"/>
          <w:right w:val="single" w:color="auto" w:sz="4"/>
          <w:insideH w:val="single" w:color="auto" w:sz="4"/>
          <w:insideV w:val="single" w:color="auto" w:sz="4"/>
        </w:tblBorders>
      </w:tblPr>
      <w:tblGrid>
        <w:gridCol w:w="2300"/>
        <w:gridCol w:w="4700"/>
        <w:gridCol w:w="1200"/>
      </w:tblGrid>
      <w:tr>
        <w:trPr>
          <w:tblHeader/>
        </w:trPr>
        <w:tc>
          <w:tcPr>
            <w:tcW w:type="dxa" w:w="23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技法名</w:t>
            </w:r>
          </w:p>
        </w:tc>
        <w:tc>
          <w:tcPr>
            <w:tcW w:type="dxa" w:w="47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操作</w:t>
            </w:r>
          </w:p>
        </w:tc>
        <w:tc>
          <w:tcPr>
            <w:tcW w:type="dxa" w:w="12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脅威度</w:t>
            </w:r>
          </w:p>
        </w:tc>
      </w:tr>
      <w:tr>
        <w:tc>
          <w:tcPr>
            <w:tcW w:type="dxa" w:w="23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ロールプレイ内誤差</w:t>
            </w:r>
          </w:p>
        </w:tc>
        <w:tc>
          <w:tcPr>
            <w:tcW w:type="dxa" w:w="47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安全な虚構空間で異なる反応・結果を体験させる</w:t>
            </w:r>
          </w:p>
        </w:tc>
        <w:tc>
          <w:tcPr>
            <w:tcW w:type="dxa" w:w="12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中</w:t>
            </w:r>
          </w:p>
        </w:tc>
      </w:tr>
      <w:tr>
        <w:tc>
          <w:tcPr>
            <w:tcW w:type="dxa" w:w="2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イメージ再構成</w:t>
            </w:r>
          </w:p>
        </w:tc>
        <w:tc>
          <w:tcPr>
            <w:tcW w:type="dxa" w:w="47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固着した記憶イメージに新しい要素を導入する</w:t>
            </w:r>
          </w:p>
        </w:tc>
        <w:tc>
          <w:tcPr>
            <w:tcW w:type="dxa" w:w="1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中〜高</w:t>
            </w:r>
          </w:p>
        </w:tc>
      </w:tr>
      <w:tr>
        <w:tc>
          <w:tcPr>
            <w:tcW w:type="dxa" w:w="23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身体感覚からの誤差</w:t>
            </w:r>
          </w:p>
        </w:tc>
        <w:tc>
          <w:tcPr>
            <w:tcW w:type="dxa" w:w="47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認知と身体の矛盾を誤差として活用する</w:t>
            </w:r>
          </w:p>
        </w:tc>
        <w:tc>
          <w:tcPr>
            <w:tcW w:type="dxa" w:w="12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中</w:t>
            </w:r>
          </w:p>
        </w:tc>
      </w:tr>
    </w:tbl>
    <w:p>
      <w:pPr>
        <w:spacing w:after="0" w:before="0"/>
      </w:pPr>
      <w:r>
        <w:rPr>
          <w:sz w:val="22"/>
          <w:szCs w:val="22"/>
        </w:rPr>
        <w:t xml:space="preserve"/>
      </w:r>
    </w:p>
    <w:p>
      <w:pPr>
        <w:pStyle w:val="Heading1"/>
        <w:spacing w:after="120" w:before="360"/>
      </w:pPr>
      <w:r>
        <w:rPr>
          <w:rFonts w:ascii="Arial" w:cs="Arial" w:eastAsia="Arial" w:hAnsi="Arial"/>
          <w:b/>
          <w:bCs/>
          <w:sz w:val="32"/>
          <w:szCs w:val="32"/>
        </w:rPr>
        <w:t xml:space="preserve">III. 補助の技法体系</w:t>
      </w:r>
    </w:p>
    <w:p>
      <w:pPr>
        <w:pStyle w:val="Heading2"/>
        <w:spacing w:after="80" w:before="240"/>
      </w:pPr>
      <w:r>
        <w:rPr>
          <w:rFonts w:ascii="Arial" w:cs="Arial" w:eastAsia="Arial" w:hAnsi="Arial"/>
          <w:b/>
          <w:bCs/>
          <w:sz w:val="26"/>
          <w:szCs w:val="26"/>
        </w:rPr>
        <w:t xml:space="preserve">3.1 補助の再定義</w:t>
      </w:r>
    </w:p>
    <w:p>
      <w:pPr>
        <w:spacing w:after="120" w:before="60" w:line="360"/>
      </w:pPr>
      <w:r>
        <w:rPr>
          <w:rFonts w:ascii="Arial" w:cs="Arial" w:eastAsia="Arial" w:hAnsi="Arial"/>
          <w:sz w:val="22"/>
          <w:szCs w:val="22"/>
        </w:rPr>
        <w:t xml:space="preserve">補助（Support）とは「モデル更新に伴うコストを下げる操作の総称」として定義される。コストには脅威コスト・喪失コスト・関係コスト・アイデンティティコスト・不確実性コストの5種類がある。補助は誤差を届かせるための媒介であり、目的ではない。</w:t>
      </w:r>
    </w:p>
    <w:p>
      <w:pPr>
        <w:spacing w:after="120" w:before="60" w:line="360"/>
      </w:pPr>
      <w:r>
        <w:rPr>
          <w:rFonts w:ascii="Arial" w:cs="Arial" w:eastAsia="Arial" w:hAnsi="Arial"/>
          <w:sz w:val="22"/>
          <w:szCs w:val="22"/>
        </w:rPr>
        <w:t xml:space="preserve">補助と誤差の関係は以下の概念式で表現できる。モデル更新の可能性は補助量を誤差の脅威度で除した比に比例する。補助が誤差の脅威度を下回ると防衛・固着・退行が生じ、上回ることでモデル更新が可能になる。ただし補助が過剰になると誤差が届かない心地よい停滞が生じる。</w:t>
      </w:r>
    </w:p>
    <w:p>
      <w:pPr>
        <w:pStyle w:val="Heading2"/>
        <w:spacing w:after="80" w:before="240"/>
      </w:pPr>
      <w:r>
        <w:rPr>
          <w:rFonts w:ascii="Arial" w:cs="Arial" w:eastAsia="Arial" w:hAnsi="Arial"/>
          <w:b/>
          <w:bCs/>
          <w:sz w:val="26"/>
          <w:szCs w:val="26"/>
        </w:rPr>
        <w:t xml:space="preserve">3.2 補助の5層構造</w:t>
      </w:r>
    </w:p>
    <w:tbl>
      <w:tblPr>
        <w:tblW w:type="dxa" w:w="8200"/>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2400"/>
        <w:gridCol w:w="1600"/>
      </w:tblGrid>
      <w:tr>
        <w:trPr>
          <w:tblHeader/>
        </w:trPr>
        <w:tc>
          <w:tcPr>
            <w:tcW w:type="dxa" w:w="18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層</w:t>
            </w:r>
          </w:p>
        </w:tc>
        <w:tc>
          <w:tcPr>
            <w:tcW w:type="dxa" w:w="24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機能</w:t>
            </w:r>
          </w:p>
        </w:tc>
        <w:tc>
          <w:tcPr>
            <w:tcW w:type="dxa" w:w="24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主要技法</w:t>
            </w:r>
          </w:p>
        </w:tc>
        <w:tc>
          <w:tcPr>
            <w:tcW w:type="dxa" w:w="16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対象コスト</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層1：安全シグナル</w:t>
            </w:r>
          </w:p>
        </w:tc>
        <w:tc>
          <w:tcPr>
            <w:tcW w:type="dxa" w:w="24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脅威反応の抑制</w:t>
            </w:r>
          </w:p>
        </w:tc>
        <w:tc>
          <w:tcPr>
            <w:tcW w:type="dxa" w:w="24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接地、声調、ペース調整</w:t>
            </w:r>
          </w:p>
        </w:tc>
        <w:tc>
          <w:tcPr>
            <w:tcW w:type="dxa" w:w="16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脅威コスト</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層2：妥当化</w:t>
            </w:r>
          </w:p>
        </w:tc>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既存モデルの必然性を承認</w:t>
            </w:r>
          </w:p>
        </w:tc>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感情・認知・行動妥当化</w:t>
            </w:r>
          </w:p>
        </w:tc>
        <w:tc>
          <w:tcPr>
            <w:tcW w:type="dxa" w:w="1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喪失・関係コスト</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層3：文脈化</w:t>
            </w:r>
          </w:p>
        </w:tc>
        <w:tc>
          <w:tcPr>
            <w:tcW w:type="dxa" w:w="24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問題を文脈の産物として枠組む</w:t>
            </w:r>
          </w:p>
        </w:tc>
        <w:tc>
          <w:tcPr>
            <w:tcW w:type="dxa" w:w="24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発達的・関係的・普遍化</w:t>
            </w:r>
          </w:p>
        </w:tc>
        <w:tc>
          <w:tcPr>
            <w:tcW w:type="dxa" w:w="16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アイデンティティコスト</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層4：資源確認</w:t>
            </w:r>
          </w:p>
        </w:tc>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新モデルで生きる力を確認</w:t>
            </w:r>
          </w:p>
        </w:tc>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既存資源の同定、微小変化の明示</w:t>
            </w:r>
          </w:p>
        </w:tc>
        <w:tc>
          <w:tcPr>
            <w:tcW w:type="dxa" w:w="1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不確実性コスト</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層5：未来橋渡し</w:t>
            </w:r>
          </w:p>
        </w:tc>
        <w:tc>
          <w:tcPr>
            <w:tcW w:type="dxa" w:w="24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修正後の生き方をイメージ可能に</w:t>
            </w:r>
          </w:p>
        </w:tc>
        <w:tc>
          <w:tcPr>
            <w:tcW w:type="dxa" w:w="24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修正後イメージング、小さな実験</w:t>
            </w:r>
          </w:p>
        </w:tc>
        <w:tc>
          <w:tcPr>
            <w:tcW w:type="dxa" w:w="16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不確実性コスト</w:t>
            </w:r>
          </w:p>
        </w:tc>
      </w:tr>
    </w:tbl>
    <w:p>
      <w:pPr>
        <w:spacing w:after="0" w:before="0"/>
      </w:pPr>
      <w:r>
        <w:rPr>
          <w:sz w:val="22"/>
          <w:szCs w:val="22"/>
        </w:rPr>
        <w:t xml:space="preserve"/>
      </w:r>
    </w:p>
    <w:p>
      <w:pPr>
        <w:pStyle w:val="Heading2"/>
        <w:spacing w:after="80" w:before="240"/>
      </w:pPr>
      <w:r>
        <w:rPr>
          <w:rFonts w:ascii="Arial" w:cs="Arial" w:eastAsia="Arial" w:hAnsi="Arial"/>
          <w:b/>
          <w:bCs/>
          <w:sz w:val="26"/>
          <w:szCs w:val="26"/>
        </w:rPr>
        <w:t xml:space="preserve">3.3 誤差と補助のバランス管理</w:t>
      </w:r>
    </w:p>
    <w:p>
      <w:pPr>
        <w:spacing w:after="120" w:before="60" w:line="360"/>
      </w:pPr>
      <w:r>
        <w:rPr>
          <w:rFonts w:ascii="Arial" w:cs="Arial" w:eastAsia="Arial" w:hAnsi="Arial"/>
          <w:sz w:val="22"/>
          <w:szCs w:val="22"/>
        </w:rPr>
        <w:t xml:space="preserve">セッション内の誤差／補助比はフェーズにより変動する。開始期（最初の10分）は補助80%・誤差20%を基準とし、核心部では補助30%・誤差70%まで移行し、着地期（最後の10分）には再び補助80%・誤差20%に戻る。</w:t>
      </w:r>
    </w:p>
    <w:p>
      <w:pPr>
        <w:spacing w:after="120" w:before="60" w:line="360"/>
      </w:pPr>
      <w:r>
        <w:rPr>
          <w:rFonts w:ascii="Arial" w:cs="Arial" w:eastAsia="Arial" w:hAnsi="Arial"/>
          <w:sz w:val="22"/>
          <w:szCs w:val="22"/>
        </w:rPr>
        <w:t xml:space="preserve">補助不足のサイン（防衛の強化、情動の急増、身体症状の出現）を検知した際は誤差を一時停止し、層1・層2に戻る。補助過多のサイン（快適すぎる停滞、同じ話題の繰り返し、洞察はあるが行動変容がない）を検知した際は、補助を維持しつつ誤差を小さく増やす。</w:t>
      </w:r>
    </w:p>
    <w:p>
      <w:pPr>
        <w:pStyle w:val="Heading2"/>
        <w:spacing w:after="80" w:before="240"/>
      </w:pPr>
      <w:r>
        <w:rPr>
          <w:rFonts w:ascii="Arial" w:cs="Arial" w:eastAsia="Arial" w:hAnsi="Arial"/>
          <w:b/>
          <w:bCs/>
          <w:sz w:val="26"/>
          <w:szCs w:val="26"/>
        </w:rPr>
        <w:t xml:space="preserve">3.4 接続詞の選択</w:t>
      </w:r>
    </w:p>
    <w:p>
      <w:pPr>
        <w:spacing w:after="120" w:before="60" w:line="360"/>
      </w:pPr>
      <w:r>
        <w:rPr>
          <w:rFonts w:ascii="Arial" w:cs="Arial" w:eastAsia="Arial" w:hAnsi="Arial"/>
          <w:sz w:val="22"/>
          <w:szCs w:val="22"/>
        </w:rPr>
        <w:t xml:space="preserve">誤差提示前の補助との接続において、使用する接続詞が誤差の受容に大きく影響する。「でも」「しかし」は補助を打ち消す効果があるため避ける。「同時に」は補助と誤差を並列でき推奨される。「だからこそ」は補助から誤差への自然な橋渡しとなり最も有効である。</w:t>
      </w:r>
    </w:p>
    <w:p>
      <w:pPr>
        <w:spacing w:after="0" w:before="0"/>
      </w:pPr>
      <w:r>
        <w:rPr>
          <w:sz w:val="22"/>
          <w:szCs w:val="22"/>
        </w:rPr>
        <w:t xml:space="preserve"/>
      </w:r>
    </w:p>
    <w:p>
      <w:pPr>
        <w:pStyle w:val="Heading1"/>
        <w:spacing w:after="120" w:before="360"/>
      </w:pPr>
      <w:r>
        <w:rPr>
          <w:rFonts w:ascii="Arial" w:cs="Arial" w:eastAsia="Arial" w:hAnsi="Arial"/>
          <w:b/>
          <w:bCs/>
          <w:sz w:val="32"/>
          <w:szCs w:val="32"/>
        </w:rPr>
        <w:t xml:space="preserve">IV. 治療者のメタレベル技法</w:t>
      </w:r>
    </w:p>
    <w:p>
      <w:pPr>
        <w:pStyle w:val="Heading2"/>
        <w:spacing w:after="80" w:before="240"/>
      </w:pPr>
      <w:r>
        <w:rPr>
          <w:rFonts w:ascii="Arial" w:cs="Arial" w:eastAsia="Arial" w:hAnsi="Arial"/>
          <w:b/>
          <w:bCs/>
          <w:sz w:val="26"/>
          <w:szCs w:val="26"/>
        </w:rPr>
        <w:t xml:space="preserve">4.1 治療者モデルのミスの分類</w:t>
      </w:r>
    </w:p>
    <w:p>
      <w:pPr>
        <w:spacing w:after="120" w:before="60" w:line="360"/>
      </w:pPr>
      <w:r>
        <w:rPr>
          <w:rFonts w:ascii="Arial" w:cs="Arial" w:eastAsia="Arial" w:hAnsi="Arial"/>
          <w:sz w:val="22"/>
          <w:szCs w:val="22"/>
        </w:rPr>
        <w:t xml:space="preserve">治療者は患者に対して複数のモデルを持つ。患者モデル（この患者は〜）、治療モデル（精神療法とは〜）、自己モデル（私はこういう治療者だ）、関係モデル（この患者と私の間には〜）の4レベルである。ミスはどのレベルでも生じるが、修正困難なのは自己モデル・関係モデルのレベルである。</w:t>
      </w:r>
    </w:p>
    <w:tbl>
      <w:tblPr>
        <w:tblW w:type="dxa" w:w="8200"/>
        <w:tblBorders>
          <w:top w:val="single" w:color="auto" w:sz="4"/>
          <w:left w:val="single" w:color="auto" w:sz="4"/>
          <w:bottom w:val="single" w:color="auto" w:sz="4"/>
          <w:right w:val="single" w:color="auto" w:sz="4"/>
          <w:insideH w:val="single" w:color="auto" w:sz="4"/>
          <w:insideV w:val="single" w:color="auto" w:sz="4"/>
        </w:tblBorders>
      </w:tblPr>
      <w:tblGrid>
        <w:gridCol w:w="1800"/>
        <w:gridCol w:w="2200"/>
        <w:gridCol w:w="2200"/>
        <w:gridCol w:w="2000"/>
      </w:tblGrid>
      <w:tr>
        <w:trPr>
          <w:tblHeader/>
        </w:trPr>
        <w:tc>
          <w:tcPr>
            <w:tcW w:type="dxa" w:w="18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ミスのタイプ</w:t>
            </w:r>
          </w:p>
        </w:tc>
        <w:tc>
          <w:tcPr>
            <w:tcW w:type="dxa" w:w="22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原因</w:t>
            </w:r>
          </w:p>
        </w:tc>
        <w:tc>
          <w:tcPr>
            <w:tcW w:type="dxa" w:w="22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特徴</w:t>
            </w:r>
          </w:p>
        </w:tc>
        <w:tc>
          <w:tcPr>
            <w:tcW w:type="dxa" w:w="20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修正</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情報不足型</w:t>
            </w:r>
          </w:p>
        </w:tc>
        <w:tc>
          <w:tcPr>
            <w:tcW w:type="dxa" w:w="22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患者についての情報不足</w:t>
            </w:r>
          </w:p>
        </w:tc>
        <w:tc>
          <w:tcPr>
            <w:tcW w:type="dxa" w:w="22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新情報で比較的容易に修正</w:t>
            </w:r>
          </w:p>
        </w:tc>
        <w:tc>
          <w:tcPr>
            <w:tcW w:type="dxa" w:w="2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情報収集・心理検査</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フィルター型</w:t>
            </w:r>
          </w:p>
        </w:tc>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治療者のフィルターによる歪み</w:t>
            </w:r>
          </w:p>
        </w:tc>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患者の反応を見ても修正されにくい</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フィルターの明示化</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逆転移型</w:t>
            </w:r>
          </w:p>
        </w:tc>
        <w:tc>
          <w:tcPr>
            <w:tcW w:type="dxa" w:w="22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治療者自身の未解決問題</w:t>
            </w:r>
          </w:p>
        </w:tc>
        <w:tc>
          <w:tcPr>
            <w:tcW w:type="dxa" w:w="22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修正に最も抵抗する</w:t>
            </w:r>
          </w:p>
        </w:tc>
        <w:tc>
          <w:tcPr>
            <w:tcW w:type="dxa" w:w="2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個人分析・スーパービジョン</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理論固着型</w:t>
            </w:r>
          </w:p>
        </w:tc>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特定理論への過同一化</w:t>
            </w:r>
          </w:p>
        </w:tc>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理論が現実を覆う蓋になる</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理論との距離の確保</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関係場型</w:t>
            </w:r>
          </w:p>
        </w:tc>
        <w:tc>
          <w:tcPr>
            <w:tcW w:type="dxa" w:w="22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患者との関係が作り出すミス</w:t>
            </w:r>
          </w:p>
        </w:tc>
        <w:tc>
          <w:tcPr>
            <w:tcW w:type="dxa" w:w="22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治療者単独では気づけない</w:t>
            </w:r>
          </w:p>
        </w:tc>
        <w:tc>
          <w:tcPr>
            <w:tcW w:type="dxa" w:w="2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スーパービジョン必須</w:t>
            </w:r>
          </w:p>
        </w:tc>
      </w:tr>
    </w:tbl>
    <w:p>
      <w:pPr>
        <w:spacing w:after="0" w:before="0"/>
      </w:pPr>
      <w:r>
        <w:rPr>
          <w:sz w:val="22"/>
          <w:szCs w:val="22"/>
        </w:rPr>
        <w:t xml:space="preserve"/>
      </w:r>
    </w:p>
    <w:p>
      <w:pPr>
        <w:pStyle w:val="Heading2"/>
        <w:spacing w:after="80" w:before="240"/>
      </w:pPr>
      <w:r>
        <w:rPr>
          <w:rFonts w:ascii="Arial" w:cs="Arial" w:eastAsia="Arial" w:hAnsi="Arial"/>
          <w:b/>
          <w:bCs/>
          <w:sz w:val="26"/>
          <w:szCs w:val="26"/>
        </w:rPr>
        <w:t xml:space="preserve">4.2 検知システム</w:t>
      </w:r>
    </w:p>
    <w:p>
      <w:pPr>
        <w:spacing w:after="120" w:before="60" w:line="360"/>
      </w:pPr>
      <w:r>
        <w:rPr>
          <w:rFonts w:ascii="Arial" w:cs="Arial" w:eastAsia="Arial" w:hAnsi="Arial"/>
          <w:sz w:val="22"/>
          <w:szCs w:val="22"/>
        </w:rPr>
        <w:t xml:space="preserve">治療者モデルのミスを検知する最も信頼できる指標は情動レベルのシグナルである。過度なポジティブ反応（特別に気になる、会うのが楽しみすぎる）と過度なネガティブ反応（会うのが憂鬱、諦め）はいずれもモデル歪みのサインである。</w:t>
      </w:r>
    </w:p>
    <w:p>
      <w:pPr>
        <w:spacing w:after="120" w:before="60" w:line="360"/>
      </w:pPr>
      <w:r>
        <w:rPr>
          <w:rFonts w:ascii="Arial" w:cs="Arial" w:eastAsia="Arial" w:hAnsi="Arial"/>
          <w:sz w:val="22"/>
          <w:szCs w:val="22"/>
        </w:rPr>
        <w:t xml:space="preserve">特に「スーパービジョンで話したくない」という感覚は、最も信頼できるモデル歪みの指標として注目すべきである。この感覚を抑圧せず、スーパービジョンの開始点として活用することが重要である。</w:t>
      </w:r>
    </w:p>
    <w:p>
      <w:pPr>
        <w:pStyle w:val="Heading2"/>
        <w:spacing w:after="80" w:before="240"/>
      </w:pPr>
      <w:r>
        <w:rPr>
          <w:rFonts w:ascii="Arial" w:cs="Arial" w:eastAsia="Arial" w:hAnsi="Arial"/>
          <w:b/>
          <w:bCs/>
          <w:sz w:val="26"/>
          <w:szCs w:val="26"/>
        </w:rPr>
        <w:t xml:space="preserve">4.3 治療者の自己管理</w:t>
      </w:r>
    </w:p>
    <w:p>
      <w:pPr>
        <w:spacing w:after="120" w:before="60" w:line="360"/>
      </w:pPr>
      <w:r>
        <w:rPr>
          <w:rFonts w:ascii="Arial" w:cs="Arial" w:eastAsia="Arial" w:hAnsi="Arial"/>
          <w:sz w:val="22"/>
          <w:szCs w:val="22"/>
        </w:rPr>
        <w:t xml:space="preserve">補助を提供し続けるための治療者の自己管理は4領域に整理される。身体的自己管理（睡眠・スケジュール管理）、認知的自己管理（自己批判と自己観察の区別、「十分に良い治療者」概念の内在化）、情動的自己管理（感情の認識と処理の習慣化、過同一化の防止）、関係的自己管理（孤立の防止、スーパービジョンの構造化）である。</w:t>
      </w:r>
    </w:p>
    <w:p>
      <w:pPr>
        <w:pStyle w:val="Heading2"/>
        <w:spacing w:after="80" w:before="240"/>
      </w:pPr>
      <w:r>
        <w:rPr>
          <w:rFonts w:ascii="Arial" w:cs="Arial" w:eastAsia="Arial" w:hAnsi="Arial"/>
          <w:b/>
          <w:bCs/>
          <w:sz w:val="26"/>
          <w:szCs w:val="26"/>
        </w:rPr>
        <w:t xml:space="preserve">4.4 スーパービジョンの再定義</w:t>
      </w:r>
    </w:p>
    <w:p>
      <w:pPr>
        <w:spacing w:after="120" w:before="60" w:line="360"/>
      </w:pPr>
      <w:r>
        <w:rPr>
          <w:rFonts w:ascii="Arial" w:cs="Arial" w:eastAsia="Arial" w:hAnsi="Arial"/>
          <w:sz w:val="22"/>
          <w:szCs w:val="22"/>
        </w:rPr>
        <w:t xml:space="preserve">ECITの枠組みでは、スーパービジョンは「指導を受ける場」ではなく「治療者のモデルを修正する場」として再定義される。スーパーバイザーは治療者に対して、患者への治療者と構造的に同一の役割を果たす。すなわち補助を提供しながら誤差を提示し、治療者のモデル更新を促進する。</w:t>
      </w:r>
    </w:p>
    <w:p>
      <w:pPr>
        <w:spacing w:after="120" w:before="60" w:line="360"/>
      </w:pPr>
      <w:r>
        <w:rPr>
          <w:rFonts w:ascii="Arial" w:cs="Arial" w:eastAsia="Arial" w:hAnsi="Arial"/>
          <w:sz w:val="22"/>
          <w:szCs w:val="22"/>
        </w:rPr>
        <w:t xml:space="preserve">根本的命題として、誤差修正精神療法における治療者の本質的条件は「自分自身のモデルが修正可能であることを身をもって知っている者」であることが挙げられる。</w:t>
      </w:r>
    </w:p>
    <w:p>
      <w:pPr>
        <w:spacing w:after="0" w:before="0"/>
      </w:pPr>
      <w:r>
        <w:rPr>
          <w:sz w:val="22"/>
          <w:szCs w:val="22"/>
        </w:rPr>
        <w:t xml:space="preserve"/>
      </w:r>
    </w:p>
    <w:p>
      <w:pPr>
        <w:pStyle w:val="Heading1"/>
        <w:spacing w:after="120" w:before="360"/>
      </w:pPr>
      <w:r>
        <w:rPr>
          <w:rFonts w:ascii="Arial" w:cs="Arial" w:eastAsia="Arial" w:hAnsi="Arial"/>
          <w:b/>
          <w:bCs/>
          <w:sz w:val="32"/>
          <w:szCs w:val="32"/>
        </w:rPr>
        <w:t xml:space="preserve">V. PTSDへの適用：フェーズ別誤差戦略</w:t>
      </w:r>
    </w:p>
    <w:p>
      <w:pPr>
        <w:pStyle w:val="Heading2"/>
        <w:spacing w:after="80" w:before="240"/>
      </w:pPr>
      <w:r>
        <w:rPr>
          <w:rFonts w:ascii="Arial" w:cs="Arial" w:eastAsia="Arial" w:hAnsi="Arial"/>
          <w:b/>
          <w:bCs/>
          <w:sz w:val="26"/>
          <w:szCs w:val="26"/>
        </w:rPr>
        <w:t xml:space="preserve">5.1 PTSDの理解</w:t>
      </w:r>
    </w:p>
    <w:p>
      <w:pPr>
        <w:spacing w:after="120" w:before="60" w:line="360"/>
      </w:pPr>
      <w:r>
        <w:rPr>
          <w:rFonts w:ascii="Arial" w:cs="Arial" w:eastAsia="Arial" w:hAnsi="Arial"/>
          <w:sz w:val="22"/>
          <w:szCs w:val="22"/>
        </w:rPr>
        <w:t xml:space="preserve">ECITの観点からPTSDとは「過去の誤差（外傷体験）が処理されず、現在のモデルを汚染し続けている状態」と定義される。外傷体験は通常の学習・モデル更新プロセスを経ないため、過去として統合されず現在進行形として侵入し続ける。</w:t>
      </w:r>
    </w:p>
    <w:p>
      <w:pPr>
        <w:spacing w:after="120" w:before="60" w:line="360"/>
      </w:pPr>
      <w:r>
        <w:rPr>
          <w:rFonts w:ascii="Arial" w:cs="Arial" w:eastAsia="Arial" w:hAnsi="Arial"/>
          <w:sz w:val="22"/>
          <w:szCs w:val="22"/>
        </w:rPr>
        <w:t xml:space="preserve">固着したモデルの内容は多層にわたる。世界モデル（「世界は常に危険だ」）、他者モデル（「人は必ず裏切る」）、自己モデル（「私は無力だ」「私が悪かった」）、因果モデル（「油断すると必ずやられる」）、身体モデル（「この身体は安全でない」）がある。</w:t>
      </w:r>
    </w:p>
    <w:p>
      <w:pPr>
        <w:pStyle w:val="Heading2"/>
        <w:spacing w:after="80" w:before="240"/>
      </w:pPr>
      <w:r>
        <w:rPr>
          <w:rFonts w:ascii="Arial" w:cs="Arial" w:eastAsia="Arial" w:hAnsi="Arial"/>
          <w:b/>
          <w:bCs/>
          <w:sz w:val="26"/>
          <w:szCs w:val="26"/>
        </w:rPr>
        <w:t xml:space="preserve">5.2 フェーズ別戦略</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1400"/>
        <w:gridCol w:w="2000"/>
        <w:gridCol w:w="2800"/>
        <w:gridCol w:w="1300"/>
        <w:gridCol w:w="1700"/>
      </w:tblGrid>
      <w:tr>
        <w:trPr>
          <w:tblHeader/>
        </w:trPr>
        <w:tc>
          <w:tcPr>
            <w:tcW w:type="dxa" w:w="14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フェーズ</w:t>
            </w:r>
          </w:p>
        </w:tc>
        <w:tc>
          <w:tcPr>
            <w:tcW w:type="dxa" w:w="20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目標</w:t>
            </w:r>
          </w:p>
        </w:tc>
        <w:tc>
          <w:tcPr>
            <w:tcW w:type="dxa" w:w="28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誤差戦略</w:t>
            </w:r>
          </w:p>
        </w:tc>
        <w:tc>
          <w:tcPr>
            <w:tcW w:type="dxa" w:w="13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補助量</w:t>
            </w:r>
          </w:p>
        </w:tc>
        <w:tc>
          <w:tcPr>
            <w:tcW w:type="dxa" w:w="17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主要指標</w:t>
            </w:r>
          </w:p>
        </w:tc>
      </w:tr>
      <w:tr>
        <w:tc>
          <w:tcPr>
            <w:tcW w:type="dxa" w:w="14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フェーズ1
安全・安定化</w:t>
            </w:r>
          </w:p>
        </w:tc>
        <w:tc>
          <w:tcPr>
            <w:tcW w:type="dxa" w:w="2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誤差を受け取れる状態を作る</w:t>
            </w:r>
          </w:p>
        </w:tc>
        <w:tc>
          <w:tcPr>
            <w:tcW w:type="dxa" w:w="28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最小・周辺的・今ここ限定（外傷内容への誤差は一切提示しない）</w:t>
            </w:r>
          </w:p>
        </w:tc>
        <w:tc>
          <w:tcPr>
            <w:tcW w:type="dxa" w:w="13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最大（80〜100%）</w:t>
            </w:r>
          </w:p>
        </w:tc>
        <w:tc>
          <w:tcPr>
            <w:tcW w:type="dxa" w:w="17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接地技法の自在な使用、症状の自己観察能力</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フェーズ2
外傷処理</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固着した記憶に誤差を導入する</w:t>
            </w:r>
          </w:p>
        </w:tc>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外傷記憶への直接介入（時間的・因果的・身体的・アイデンティティ的誤差）</w:t>
            </w:r>
          </w:p>
        </w:tc>
        <w:tc>
          <w:tcPr>
            <w:tcW w:type="dxa" w:w="1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高（30〜50%）</w:t>
            </w:r>
          </w:p>
        </w:tc>
        <w:tc>
          <w:tcPr>
            <w:tcW w:type="dxa" w:w="17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記憶を窓内でアクセスできる、感情強度の低下</w:t>
            </w:r>
          </w:p>
        </w:tc>
      </w:tr>
      <w:tr>
        <w:tc>
          <w:tcPr>
            <w:tcW w:type="dxa" w:w="14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フェーズ3
統合・再接続</w:t>
            </w:r>
          </w:p>
        </w:tc>
        <w:tc>
          <w:tcPr>
            <w:tcW w:type="dxa" w:w="2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修正されたモデルで今の人生を生きる</w:t>
            </w:r>
          </w:p>
        </w:tc>
        <w:tc>
          <w:tcPr>
            <w:tcW w:type="dxa" w:w="28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関係・可能性・意味への拡張（外傷後成長の視点）</w:t>
            </w:r>
          </w:p>
        </w:tc>
        <w:tc>
          <w:tcPr>
            <w:tcW w:type="dxa" w:w="13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漸減（自己補助へ移行）</w:t>
            </w:r>
          </w:p>
        </w:tc>
        <w:tc>
          <w:tcPr>
            <w:tcW w:type="dxa" w:w="17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外傷を含む自己物語の構築、治療者なしでの対処</w:t>
            </w:r>
          </w:p>
        </w:tc>
      </w:tr>
    </w:tbl>
    <w:p>
      <w:pPr>
        <w:spacing w:after="0" w:before="0"/>
      </w:pPr>
      <w:r>
        <w:rPr>
          <w:sz w:val="22"/>
          <w:szCs w:val="22"/>
        </w:rPr>
        <w:t xml:space="preserve"/>
      </w:r>
    </w:p>
    <w:p>
      <w:pPr>
        <w:pStyle w:val="Heading2"/>
        <w:spacing w:after="80" w:before="240"/>
      </w:pPr>
      <w:r>
        <w:rPr>
          <w:rFonts w:ascii="Arial" w:cs="Arial" w:eastAsia="Arial" w:hAnsi="Arial"/>
          <w:b/>
          <w:bCs/>
          <w:sz w:val="26"/>
          <w:szCs w:val="26"/>
        </w:rPr>
        <w:t xml:space="preserve">5.3 外傷処理の誤差の種類</w:t>
      </w:r>
    </w:p>
    <w:tbl>
      <w:tblPr>
        <w:tblW w:type="dxa" w:w="8200"/>
        <w:tblBorders>
          <w:top w:val="single" w:color="auto" w:sz="4"/>
          <w:left w:val="single" w:color="auto" w:sz="4"/>
          <w:bottom w:val="single" w:color="auto" w:sz="4"/>
          <w:right w:val="single" w:color="auto" w:sz="4"/>
          <w:insideH w:val="single" w:color="auto" w:sz="4"/>
          <w:insideV w:val="single" w:color="auto" w:sz="4"/>
        </w:tblBorders>
      </w:tblPr>
      <w:tblGrid>
        <w:gridCol w:w="2000"/>
        <w:gridCol w:w="2600"/>
        <w:gridCol w:w="3600"/>
      </w:tblGrid>
      <w:tr>
        <w:trPr>
          <w:tblHeader/>
        </w:trPr>
        <w:tc>
          <w:tcPr>
            <w:tcW w:type="dxa" w:w="20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誤差の種類</w:t>
            </w:r>
          </w:p>
        </w:tc>
        <w:tc>
          <w:tcPr>
            <w:tcW w:type="dxa" w:w="26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固着したモデル</w:t>
            </w:r>
          </w:p>
        </w:tc>
        <w:tc>
          <w:tcPr>
            <w:tcW w:type="dxa" w:w="3600"/>
            <w:tcBorders>
              <w:top w:val="single" w:color="333333" w:sz="1"/>
              <w:left w:val="single" w:color="333333" w:sz="1"/>
              <w:bottom w:val="single" w:color="333333" w:sz="1"/>
              <w:right w:val="single" w:color="333333" w:sz="1"/>
            </w:tcBorders>
            <w:shd w:fill="2E4057" w:val="clear"/>
            <w:tcMar>
              <w:top w:type="dxa" w:w="100"/>
              <w:left w:type="dxa" w:w="140"/>
              <w:bottom w:type="dxa" w:w="100"/>
              <w:right w:type="dxa" w:w="140"/>
            </w:tcMar>
          </w:tcPr>
          <w:p>
            <w:r>
              <w:rPr>
                <w:rFonts w:ascii="Arial" w:cs="Arial" w:eastAsia="Arial" w:hAnsi="Arial"/>
                <w:b/>
                <w:bCs/>
                <w:color w:val="FFFFFF"/>
                <w:sz w:val="20"/>
                <w:szCs w:val="20"/>
              </w:rPr>
              <w:t xml:space="preserve">技法</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時間的誤差</w:t>
            </w:r>
          </w:p>
        </w:tc>
        <w:tc>
          <w:tcPr>
            <w:tcW w:type="dxa" w:w="26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「あれは今も起きている」</w:t>
            </w:r>
          </w:p>
        </w:tc>
        <w:tc>
          <w:tcPr>
            <w:tcW w:type="dxa" w:w="36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現在と過去の感覚的区別、身体的現在確認、タイムライン技法</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因果的誤差</w:t>
            </w:r>
          </w:p>
        </w:tc>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「私がそうさせた」「私が悪かった」</w:t>
            </w:r>
          </w:p>
        </w:tc>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年齢退行的視点化、外部帰属の段階的導入、文脈的再構成</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身体的誤差</w:t>
            </w:r>
          </w:p>
        </w:tc>
        <w:tc>
          <w:tcPr>
            <w:tcW w:type="dxa" w:w="26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「身体が裏切った」「凍りついた自分は弱かった」</w:t>
            </w:r>
          </w:p>
        </w:tc>
        <w:tc>
          <w:tcPr>
            <w:tcW w:type="dxa" w:w="36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Arial" w:cs="Arial" w:eastAsia="Arial" w:hAnsi="Arial"/>
                <w:sz w:val="20"/>
                <w:szCs w:val="20"/>
              </w:rPr>
              <w:t xml:space="preserve">凍りつき反応の心理教育（生存反応として）、身体反応の再意味付け</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アイデンティティ的誤差</w:t>
            </w:r>
          </w:p>
        </w:tc>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「私はあの体験で決定的に壊れた」</w:t>
            </w:r>
          </w:p>
        </w:tc>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外傷前の自己との接続、外傷を超えた連続性の発見</w:t>
            </w:r>
          </w:p>
        </w:tc>
      </w:tr>
    </w:tbl>
    <w:p>
      <w:pPr>
        <w:spacing w:after="0" w:before="0"/>
      </w:pPr>
      <w:r>
        <w:rPr>
          <w:sz w:val="22"/>
          <w:szCs w:val="22"/>
        </w:rPr>
        <w:t xml:space="preserve"/>
      </w:r>
    </w:p>
    <w:p>
      <w:pPr>
        <w:pStyle w:val="Heading2"/>
        <w:spacing w:after="80" w:before="240"/>
      </w:pPr>
      <w:r>
        <w:rPr>
          <w:rFonts w:ascii="Arial" w:cs="Arial" w:eastAsia="Arial" w:hAnsi="Arial"/>
          <w:b/>
          <w:bCs/>
          <w:sz w:val="26"/>
          <w:szCs w:val="26"/>
        </w:rPr>
        <w:t xml:space="preserve">5.4 複雑性PTSDへの修正</w:t>
      </w:r>
    </w:p>
    <w:p>
      <w:pPr>
        <w:spacing w:after="120" w:before="60" w:line="360"/>
      </w:pPr>
      <w:r>
        <w:rPr>
          <w:rFonts w:ascii="Arial" w:cs="Arial" w:eastAsia="Arial" w:hAnsi="Arial"/>
          <w:sz w:val="22"/>
          <w:szCs w:val="22"/>
        </w:rPr>
        <w:t xml:space="preserve">単純PTSDと複雑性PTSD（C-PTSD）では誤差戦略が異なる。C-PTSDでは自己組織化の障害（感情調整困難・否定的自己概念・関係障害）があるため、フェーズが重複・往復し、フェーズ1が治療の大部分を占める。外傷処理技法より治療関係内誤差が中心になる。解離パーツへの対応ではどのパーツが誤差を受け取れるかという問いが重要になる。</w:t>
      </w:r>
    </w:p>
    <w:p>
      <w:pPr>
        <w:spacing w:after="0" w:before="0"/>
      </w:pPr>
      <w:r>
        <w:rPr>
          <w:sz w:val="22"/>
          <w:szCs w:val="22"/>
        </w:rPr>
        <w:t xml:space="preserve"/>
      </w:r>
    </w:p>
    <w:p>
      <w:pPr>
        <w:pStyle w:val="Heading1"/>
        <w:spacing w:after="120" w:before="360"/>
      </w:pPr>
      <w:r>
        <w:rPr>
          <w:rFonts w:ascii="Arial" w:cs="Arial" w:eastAsia="Arial" w:hAnsi="Arial"/>
          <w:b/>
          <w:bCs/>
          <w:sz w:val="32"/>
          <w:szCs w:val="32"/>
        </w:rPr>
        <w:t xml:space="preserve">VI. 統合モデル</w:t>
      </w:r>
    </w:p>
    <w:p>
      <w:pPr>
        <w:pStyle w:val="Heading2"/>
        <w:spacing w:after="80" w:before="240"/>
      </w:pPr>
      <w:r>
        <w:rPr>
          <w:rFonts w:ascii="Arial" w:cs="Arial" w:eastAsia="Arial" w:hAnsi="Arial"/>
          <w:b/>
          <w:bCs/>
          <w:sz w:val="26"/>
          <w:szCs w:val="26"/>
        </w:rPr>
        <w:t xml:space="preserve">6.1 治療の全体構造</w:t>
      </w:r>
    </w:p>
    <w:p>
      <w:pPr>
        <w:spacing w:after="120" w:before="60" w:line="360"/>
      </w:pPr>
      <w:r>
        <w:rPr>
          <w:rFonts w:ascii="Arial" w:cs="Arial" w:eastAsia="Arial" w:hAnsi="Arial"/>
          <w:sz w:val="22"/>
          <w:szCs w:val="22"/>
        </w:rPr>
        <w:t xml:space="preserve">ECITにおける治療の全体構造は以下の循環として記述される。まず治療者は患者の世界モデルを同定し、現実との乖離点を特定する。次に安全環境を確立し、補助を先渡しした上で適切な誤差を提示する。患者の反応（修正あり・なし）を観察し、修正が生じた場合は深化・拡張し、生じなかった場合は誤差の大きさ・様式・タイミングを再設計して再提示する。</w:t>
      </w:r>
    </w:p>
    <w:p>
      <w:pPr>
        <w:spacing w:after="120" w:before="60" w:line="360"/>
      </w:pPr>
      <w:r>
        <w:rPr>
          <w:rFonts w:ascii="Arial" w:cs="Arial" w:eastAsia="Arial" w:hAnsi="Arial"/>
          <w:sz w:val="22"/>
          <w:szCs w:val="22"/>
        </w:rPr>
        <w:t xml:space="preserve">同時に治療者は自己の患者モデルを継続的に観察し、ミスを検知し修正する。このメタレベルのモデル修正が、患者レベルでの誤差提示の質を規定する。</w:t>
      </w:r>
    </w:p>
    <w:p>
      <w:pPr>
        <w:pStyle w:val="Heading2"/>
        <w:spacing w:after="80" w:before="240"/>
      </w:pPr>
      <w:r>
        <w:rPr>
          <w:rFonts w:ascii="Arial" w:cs="Arial" w:eastAsia="Arial" w:hAnsi="Arial"/>
          <w:b/>
          <w:bCs/>
          <w:sz w:val="26"/>
          <w:szCs w:val="26"/>
        </w:rPr>
        <w:t xml:space="preserve">6.2 治療は双方向の変化プロセスである</w:t>
      </w:r>
    </w:p>
    <w:p>
      <w:pPr>
        <w:spacing w:after="120" w:before="60" w:line="360"/>
      </w:pPr>
      <w:r>
        <w:rPr>
          <w:rFonts w:ascii="Arial" w:cs="Arial" w:eastAsia="Arial" w:hAnsi="Arial"/>
          <w:sz w:val="22"/>
          <w:szCs w:val="22"/>
        </w:rPr>
        <w:t xml:space="preserve">ECITの最も根本的な命題として、治療は患者だけが変わるのではなく、治療者も変わり続けるプロセスである。患者のモデル更新が治療者のモデルをさらに修正し、治療者のモデル修正が患者への誤差提示の質を向上させるという相互ループが治療の本質的な動力となる。治療者のモデル更新能力そのものが、患者のモデル更新能力の上限を決定する。</w:t>
      </w:r>
    </w:p>
    <w:p>
      <w:pPr>
        <w:pStyle w:val="Heading2"/>
        <w:spacing w:after="80" w:before="240"/>
      </w:pPr>
      <w:r>
        <w:rPr>
          <w:rFonts w:ascii="Arial" w:cs="Arial" w:eastAsia="Arial" w:hAnsi="Arial"/>
          <w:b/>
          <w:bCs/>
          <w:sz w:val="26"/>
          <w:szCs w:val="26"/>
        </w:rPr>
        <w:t xml:space="preserve">6.3 将来の課題</w:t>
      </w:r>
    </w:p>
    <w:p>
      <w:pPr>
        <w:spacing w:after="120" w:before="60" w:line="360"/>
      </w:pPr>
      <w:r>
        <w:rPr>
          <w:rFonts w:ascii="Arial" w:cs="Arial" w:eastAsia="Arial" w:hAnsi="Arial"/>
          <w:sz w:val="22"/>
          <w:szCs w:val="22"/>
        </w:rPr>
        <w:t xml:space="preserve">本理論の発展にはいくつかの未解決の問いが残る。修正の「十分さ」の判断基準、患者が自ら誤差を生成し始める転換点の同定、愛着スタイル別の補助戦略、解離性同一症への拡張（どのパーツに誤差を提示するか）、日本語・文化的文脈での具体的言語例の整備、そして訓練プログラムとしての体系化が今後の課題として挙げられる。</w:t>
      </w:r>
    </w:p>
    <w:p>
      <w:pPr>
        <w:spacing w:after="0" w:before="0"/>
      </w:pPr>
      <w:r>
        <w:rPr>
          <w:sz w:val="22"/>
          <w:szCs w:val="22"/>
        </w:rPr>
        <w:t xml:space="preserve"/>
      </w:r>
    </w:p>
    <w:p>
      <w:pPr>
        <w:spacing w:after="0" w:before="0"/>
      </w:pPr>
      <w:r>
        <w:rPr>
          <w:sz w:val="22"/>
          <w:szCs w:val="22"/>
        </w:rPr>
        <w:t xml:space="preserve"/>
      </w:r>
    </w:p>
    <w:p>
      <w:pPr>
        <w:pBdr>
          <w:bottom w:val="single" w:color="CCCCCC" w:sz="4" w:space="1"/>
        </w:pBdr>
        <w:spacing w:after="120" w:before="120"/>
      </w:pPr>
      <w:r>
        <w:rPr>
          <w:sz w:val="4"/>
          <w:szCs w:val="4"/>
        </w:rPr>
        <w:t xml:space="preserve"/>
      </w:r>
    </w:p>
    <w:p>
      <w:pPr>
        <w:spacing w:after="0" w:before="120"/>
        <w:jc w:val="center"/>
      </w:pPr>
      <w:r>
        <w:rPr>
          <w:rFonts w:ascii="Arial" w:cs="Arial" w:eastAsia="Arial" w:hAnsi="Arial"/>
          <w:color w:val="888888"/>
          <w:sz w:val="22"/>
          <w:szCs w:val="22"/>
        </w:rPr>
        <w:t xml:space="preserve">以上</w:t>
      </w:r>
    </w:p>
    <w:sectPr>
      <w:headerReference w:type="default" r:id="rId7"/>
      <w:footerReference w:type="default" r:id="rId8"/>
      <w:pgSz w:w="11906" w:h="16838" w:orient="portrait"/>
      <w:pgMar w:top="1440" w:right="1440" w:bottom="144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jc w:val="center"/>
    </w:pPr>
    <w:r>
      <w:rPr>
        <w:rFonts w:ascii="Arial" w:cs="Arial" w:eastAsia="Arial" w:hAnsi="Arial"/>
        <w:color w:val="888888"/>
        <w:sz w:val="18"/>
        <w:szCs w:val="18"/>
      </w:rPr>
      <w:t xml:space="preserv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jc w:val="right"/>
    </w:pPr>
    <w:r>
      <w:rPr>
        <w:rFonts w:ascii="Arial" w:cs="Arial" w:eastAsia="Arial" w:hAnsi="Arial"/>
        <w:color w:val="888888"/>
        <w:sz w:val="18"/>
        <w:szCs w:val="18"/>
      </w:rPr>
      <w:t xml:space="preserve">誤差修正知性論による精神療法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80" w:before="240"/>
      <w:outlineLvl w:val="1"/>
    </w:pPr>
    <w:rPr>
      <w:rFonts w:ascii="Arial" w:cs="Arial" w:eastAsia="Arial" w:hAnsi="Arial"/>
      <w:b/>
      <w:bCs/>
      <w:color w:val="16213E"/>
      <w:sz w:val="26"/>
      <w:szCs w:val="26"/>
    </w:rPr>
  </w:style>
  <w:style w:type="paragraph" w:styleId="Heading3">
    <w:name w:val="Heading 3"/>
    <w:basedOn w:val="Normal"/>
    <w:next w:val="Normal"/>
    <w:qFormat/>
    <w:pPr>
      <w:spacing w:after="60" w:before="180"/>
      <w:outlineLvl w:val="2"/>
    </w:pPr>
    <w:rPr>
      <w:rFonts w:ascii="Arial" w:cs="Arial" w:eastAsia="Arial" w:hAnsi="Arial"/>
      <w:b/>
      <w:bCs/>
      <w:color w:val="0F346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2026-05-31T18:08:57.125Z</dcterms:created>
  <dcterms:modified xsi:type="dcterms:W3CDTF">2026-05-31T18:08:57.125Z</dcterms:modified>
</cp:coreProperties>
</file>

<file path=docProps/custom.xml><?xml version="1.0" encoding="utf-8"?>
<Properties xmlns="http://schemas.openxmlformats.org/officeDocument/2006/custom-properties" xmlns:vt="http://schemas.openxmlformats.org/officeDocument/2006/docPropsVTypes"/>
</file>